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28C8" w14:textId="5D13EB59" w:rsidR="008418A3" w:rsidRPr="003019FF" w:rsidRDefault="00114873">
      <w:pPr>
        <w:pStyle w:val="Header"/>
        <w:tabs>
          <w:tab w:val="right" w:pos="9639"/>
        </w:tabs>
        <w:rPr>
          <w:i/>
          <w:iCs/>
          <w:noProof w:val="0"/>
          <w:sz w:val="32"/>
          <w:szCs w:val="32"/>
          <w:lang w:val="en-GB"/>
        </w:rPr>
      </w:pPr>
      <w:bookmarkStart w:id="0" w:name="_GoBack"/>
      <w:bookmarkEnd w:id="0"/>
      <w:r w:rsidRPr="003252A4">
        <w:rPr>
          <w:noProof w:val="0"/>
          <w:sz w:val="24"/>
          <w:szCs w:val="24"/>
          <w:lang w:val="en-GB"/>
        </w:rPr>
        <w:t xml:space="preserve">3GPP TSG </w:t>
      </w:r>
      <w:r w:rsidR="008418A3" w:rsidRPr="003252A4">
        <w:rPr>
          <w:noProof w:val="0"/>
          <w:sz w:val="24"/>
          <w:szCs w:val="24"/>
          <w:lang w:val="en-GB"/>
        </w:rPr>
        <w:t>RAN WG</w:t>
      </w:r>
      <w:r w:rsidR="00E72C48">
        <w:rPr>
          <w:noProof w:val="0"/>
          <w:sz w:val="24"/>
          <w:szCs w:val="24"/>
          <w:lang w:val="en-GB"/>
        </w:rPr>
        <w:t>1 Meeting 90bis</w:t>
      </w:r>
      <w:r w:rsidR="008418A3" w:rsidRPr="00114873">
        <w:rPr>
          <w:bCs/>
          <w:noProof w:val="0"/>
          <w:sz w:val="24"/>
          <w:lang w:val="en-GB"/>
        </w:rPr>
        <w:tab/>
      </w:r>
      <w:r w:rsidR="008418A3" w:rsidRPr="003252A4">
        <w:rPr>
          <w:noProof w:val="0"/>
          <w:sz w:val="24"/>
          <w:szCs w:val="24"/>
          <w:lang w:val="en-GB" w:eastAsia="ja-JP"/>
        </w:rPr>
        <w:t>R1-</w:t>
      </w:r>
      <w:r w:rsidR="00E72C48">
        <w:rPr>
          <w:noProof w:val="0"/>
          <w:sz w:val="24"/>
          <w:szCs w:val="24"/>
          <w:lang w:val="en-GB" w:eastAsia="ja-JP"/>
        </w:rPr>
        <w:t>171</w:t>
      </w:r>
      <w:r w:rsidR="00987B7E">
        <w:rPr>
          <w:noProof w:val="0"/>
          <w:sz w:val="24"/>
          <w:szCs w:val="24"/>
          <w:lang w:val="en-GB" w:eastAsia="ja-JP"/>
        </w:rPr>
        <w:t>8621</w:t>
      </w:r>
    </w:p>
    <w:p w14:paraId="3944113F" w14:textId="13CC293C" w:rsidR="00114873" w:rsidRPr="003019FF" w:rsidRDefault="00E72C48">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Prague</w:t>
      </w:r>
      <w:r>
        <w:rPr>
          <w:rFonts w:ascii="Arial" w:hAnsi="Arial" w:cs="Arial"/>
          <w:b/>
          <w:bCs/>
          <w:sz w:val="24"/>
          <w:szCs w:val="24"/>
        </w:rPr>
        <w:t>, Czech</w:t>
      </w:r>
      <w:r w:rsidR="00114873" w:rsidRPr="003252A4">
        <w:rPr>
          <w:rFonts w:ascii="Arial" w:hAnsi="Arial" w:cs="Arial"/>
          <w:b/>
          <w:bCs/>
          <w:sz w:val="24"/>
          <w:szCs w:val="24"/>
        </w:rPr>
        <w:t xml:space="preserve">, </w:t>
      </w:r>
      <w:r>
        <w:rPr>
          <w:rFonts w:ascii="Arial" w:eastAsia="MS Mincho" w:hAnsi="Arial" w:cs="Arial"/>
          <w:b/>
          <w:bCs/>
          <w:sz w:val="24"/>
          <w:szCs w:val="24"/>
          <w:lang w:eastAsia="ja-JP"/>
        </w:rPr>
        <w:t>9</w:t>
      </w:r>
      <w:r w:rsidR="00114873" w:rsidRPr="003252A4">
        <w:rPr>
          <w:rFonts w:ascii="Arial" w:eastAsia="MS Mincho" w:hAnsi="Arial" w:cs="Arial"/>
          <w:b/>
          <w:bCs/>
          <w:sz w:val="24"/>
          <w:szCs w:val="24"/>
          <w:vertAlign w:val="superscript"/>
          <w:lang w:eastAsia="ja-JP"/>
        </w:rPr>
        <w:t>th</w:t>
      </w:r>
      <w:r w:rsidR="00114873" w:rsidRPr="003252A4">
        <w:rPr>
          <w:rFonts w:ascii="Arial" w:eastAsia="MS Mincho" w:hAnsi="Arial" w:cs="Arial"/>
          <w:b/>
          <w:bCs/>
          <w:sz w:val="24"/>
          <w:szCs w:val="24"/>
          <w:lang w:eastAsia="ja-JP"/>
        </w:rPr>
        <w:t xml:space="preserve"> </w:t>
      </w:r>
      <w:r w:rsidR="00114873" w:rsidRPr="003252A4">
        <w:rPr>
          <w:rFonts w:ascii="Arial" w:hAnsi="Arial" w:cs="Arial"/>
          <w:b/>
          <w:bCs/>
          <w:sz w:val="24"/>
          <w:szCs w:val="24"/>
        </w:rPr>
        <w:t xml:space="preserve">– </w:t>
      </w:r>
      <w:r>
        <w:rPr>
          <w:rFonts w:ascii="Arial" w:eastAsia="MS Mincho" w:hAnsi="Arial" w:cs="Arial"/>
          <w:b/>
          <w:bCs/>
          <w:sz w:val="24"/>
          <w:szCs w:val="24"/>
          <w:lang w:eastAsia="ja-JP"/>
        </w:rPr>
        <w:t>13</w:t>
      </w:r>
      <w:r w:rsidR="00114873" w:rsidRPr="003252A4">
        <w:rPr>
          <w:rFonts w:ascii="Arial" w:eastAsia="MS Mincho" w:hAnsi="Arial" w:cs="Arial"/>
          <w:b/>
          <w:bCs/>
          <w:sz w:val="24"/>
          <w:szCs w:val="24"/>
          <w:vertAlign w:val="superscript"/>
          <w:lang w:eastAsia="ja-JP"/>
        </w:rPr>
        <w:t>st</w:t>
      </w:r>
      <w:r>
        <w:rPr>
          <w:rFonts w:ascii="Arial" w:eastAsia="MS Mincho" w:hAnsi="Arial" w:cs="Arial"/>
          <w:b/>
          <w:bCs/>
          <w:sz w:val="24"/>
          <w:szCs w:val="24"/>
          <w:lang w:eastAsia="ja-JP"/>
        </w:rPr>
        <w:t>, Octo</w:t>
      </w:r>
      <w:r w:rsidR="00114873" w:rsidRPr="00CA1F91">
        <w:rPr>
          <w:rFonts w:ascii="Arial" w:hAnsi="Arial" w:cs="Arial"/>
          <w:b/>
          <w:bCs/>
          <w:sz w:val="24"/>
          <w:szCs w:val="24"/>
        </w:rPr>
        <w:t>ber 201</w:t>
      </w:r>
      <w:r w:rsidR="00114873" w:rsidRPr="00CA1F91">
        <w:rPr>
          <w:rFonts w:ascii="Arial" w:eastAsia="MS Mincho" w:hAnsi="Arial" w:cs="Arial"/>
          <w:b/>
          <w:bCs/>
          <w:sz w:val="24"/>
          <w:szCs w:val="24"/>
          <w:lang w:eastAsia="ja-JP"/>
        </w:rPr>
        <w:t>7</w:t>
      </w:r>
    </w:p>
    <w:p w14:paraId="4F7A4707" w14:textId="77777777" w:rsidR="002F1B64" w:rsidRPr="007B7496" w:rsidRDefault="002F1B64" w:rsidP="002F1B64">
      <w:pPr>
        <w:pStyle w:val="Header"/>
        <w:rPr>
          <w:bCs/>
          <w:noProof w:val="0"/>
          <w:sz w:val="24"/>
          <w:lang w:val="en-GB" w:eastAsia="ja-JP"/>
        </w:rPr>
      </w:pPr>
    </w:p>
    <w:p w14:paraId="2103C997" w14:textId="009CB203" w:rsidR="002F1B64" w:rsidRPr="003019FF" w:rsidRDefault="002F1B64">
      <w:pPr>
        <w:pStyle w:val="CRCoverPage"/>
        <w:rPr>
          <w:rFonts w:cs="Arial"/>
          <w:b/>
          <w:bCs/>
          <w:sz w:val="24"/>
          <w:szCs w:val="24"/>
          <w:lang w:eastAsia="ja-JP"/>
        </w:rPr>
      </w:pPr>
      <w:r w:rsidRPr="003252A4">
        <w:rPr>
          <w:rFonts w:cs="Arial"/>
          <w:b/>
          <w:bCs/>
          <w:sz w:val="24"/>
          <w:szCs w:val="24"/>
        </w:rPr>
        <w:t>Agenda item:</w:t>
      </w:r>
      <w:r w:rsidRPr="00464589">
        <w:rPr>
          <w:rFonts w:cs="Arial"/>
          <w:b/>
          <w:bCs/>
          <w:sz w:val="24"/>
        </w:rPr>
        <w:tab/>
      </w:r>
      <w:r w:rsidRPr="00464589">
        <w:rPr>
          <w:rFonts w:cs="Arial"/>
          <w:b/>
          <w:bCs/>
          <w:sz w:val="24"/>
        </w:rPr>
        <w:tab/>
      </w:r>
      <w:r w:rsidR="00E72C48">
        <w:rPr>
          <w:rFonts w:cs="Arial"/>
          <w:b/>
          <w:bCs/>
          <w:sz w:val="24"/>
          <w:szCs w:val="24"/>
        </w:rPr>
        <w:t>7</w:t>
      </w:r>
      <w:r w:rsidR="00114873" w:rsidRPr="003252A4">
        <w:rPr>
          <w:rFonts w:cs="Arial"/>
          <w:b/>
          <w:bCs/>
          <w:sz w:val="24"/>
          <w:szCs w:val="24"/>
        </w:rPr>
        <w:t>.3.3.2</w:t>
      </w:r>
    </w:p>
    <w:p w14:paraId="29595B81" w14:textId="50B271F2" w:rsidR="002F1B64" w:rsidRPr="003019FF" w:rsidRDefault="002F1B64">
      <w:pPr>
        <w:tabs>
          <w:tab w:val="left" w:pos="1985"/>
        </w:tabs>
        <w:ind w:left="1985" w:hanging="1985"/>
        <w:rPr>
          <w:rFonts w:ascii="Arial" w:hAnsi="Arial" w:cs="Arial"/>
          <w:b/>
          <w:bCs/>
          <w:sz w:val="24"/>
          <w:szCs w:val="24"/>
        </w:rPr>
      </w:pPr>
      <w:r w:rsidRPr="003252A4">
        <w:rPr>
          <w:rFonts w:ascii="Arial" w:hAnsi="Arial" w:cs="Arial"/>
          <w:b/>
          <w:bCs/>
          <w:sz w:val="24"/>
          <w:szCs w:val="24"/>
        </w:rPr>
        <w:t>Source:</w:t>
      </w:r>
      <w:r w:rsidRPr="007B7496">
        <w:rPr>
          <w:rFonts w:ascii="Arial" w:hAnsi="Arial" w:cs="Arial"/>
          <w:b/>
          <w:bCs/>
          <w:sz w:val="24"/>
        </w:rPr>
        <w:tab/>
      </w:r>
      <w:bookmarkStart w:id="1" w:name="OLE_LINK1"/>
      <w:bookmarkStart w:id="2" w:name="OLE_LINK2"/>
      <w:r w:rsidRPr="003252A4">
        <w:rPr>
          <w:rFonts w:ascii="Arial" w:hAnsi="Arial" w:cs="Arial"/>
          <w:b/>
          <w:bCs/>
          <w:sz w:val="24"/>
          <w:szCs w:val="24"/>
        </w:rPr>
        <w:t>Nokia</w:t>
      </w:r>
      <w:bookmarkEnd w:id="1"/>
      <w:bookmarkEnd w:id="2"/>
      <w:r w:rsidR="0071233A" w:rsidRPr="003252A4">
        <w:rPr>
          <w:rFonts w:ascii="Arial" w:hAnsi="Arial" w:cs="Arial"/>
          <w:b/>
          <w:bCs/>
          <w:sz w:val="24"/>
          <w:szCs w:val="24"/>
        </w:rPr>
        <w:t>, Nokia</w:t>
      </w:r>
      <w:r w:rsidRPr="003252A4">
        <w:rPr>
          <w:rFonts w:ascii="Arial" w:hAnsi="Arial" w:cs="Arial"/>
          <w:b/>
          <w:bCs/>
          <w:sz w:val="24"/>
          <w:szCs w:val="24"/>
        </w:rPr>
        <w:t xml:space="preserve"> Shanghai Bell </w:t>
      </w:r>
    </w:p>
    <w:p w14:paraId="64183FCC" w14:textId="7FFB344A" w:rsidR="002F1B64" w:rsidRPr="003019FF" w:rsidRDefault="002F1B64">
      <w:pPr>
        <w:ind w:left="1985" w:hanging="1985"/>
        <w:rPr>
          <w:rFonts w:ascii="Arial" w:hAnsi="Arial" w:cs="Arial"/>
          <w:b/>
          <w:bCs/>
          <w:sz w:val="24"/>
          <w:szCs w:val="24"/>
        </w:rPr>
      </w:pPr>
      <w:r w:rsidRPr="003252A4">
        <w:rPr>
          <w:rFonts w:ascii="Arial" w:hAnsi="Arial" w:cs="Arial"/>
          <w:b/>
          <w:bCs/>
          <w:sz w:val="24"/>
          <w:szCs w:val="24"/>
        </w:rPr>
        <w:t>Title:</w:t>
      </w:r>
      <w:r w:rsidRPr="00F174DB">
        <w:rPr>
          <w:rFonts w:ascii="Arial" w:hAnsi="Arial" w:cs="Arial"/>
          <w:b/>
          <w:bCs/>
          <w:sz w:val="24"/>
        </w:rPr>
        <w:tab/>
      </w:r>
      <w:r w:rsidR="00E72C48">
        <w:rPr>
          <w:rFonts w:ascii="Arial" w:hAnsi="Arial" w:cs="Arial"/>
          <w:b/>
          <w:bCs/>
          <w:sz w:val="24"/>
          <w:szCs w:val="24"/>
        </w:rPr>
        <w:t>Remaining</w:t>
      </w:r>
      <w:r w:rsidR="00114873" w:rsidRPr="003252A4">
        <w:rPr>
          <w:rFonts w:ascii="Arial" w:hAnsi="Arial" w:cs="Arial"/>
          <w:b/>
          <w:bCs/>
          <w:sz w:val="24"/>
          <w:szCs w:val="24"/>
        </w:rPr>
        <w:t xml:space="preserve"> aspects</w:t>
      </w:r>
      <w:r w:rsidR="00DA3B87" w:rsidRPr="003252A4">
        <w:rPr>
          <w:rFonts w:ascii="Arial" w:hAnsi="Arial" w:cs="Arial"/>
          <w:b/>
          <w:bCs/>
          <w:sz w:val="24"/>
          <w:szCs w:val="24"/>
        </w:rPr>
        <w:t xml:space="preserve"> </w:t>
      </w:r>
      <w:r w:rsidR="00114873" w:rsidRPr="003252A4">
        <w:rPr>
          <w:rFonts w:ascii="Arial" w:hAnsi="Arial" w:cs="Arial"/>
          <w:b/>
          <w:bCs/>
          <w:sz w:val="24"/>
          <w:szCs w:val="24"/>
        </w:rPr>
        <w:t>of HARQ management</w:t>
      </w:r>
    </w:p>
    <w:p w14:paraId="11547072" w14:textId="66E4D6E3" w:rsidR="002F1B64" w:rsidRPr="003019FF" w:rsidRDefault="002F1B64">
      <w:pPr>
        <w:rPr>
          <w:rFonts w:ascii="Arial" w:hAnsi="Arial" w:cs="Arial"/>
          <w:b/>
          <w:bCs/>
          <w:sz w:val="24"/>
          <w:szCs w:val="24"/>
        </w:rPr>
      </w:pPr>
      <w:r w:rsidRPr="003252A4">
        <w:rPr>
          <w:rFonts w:ascii="Arial" w:hAnsi="Arial" w:cs="Arial"/>
          <w:b/>
          <w:bCs/>
          <w:sz w:val="24"/>
          <w:szCs w:val="24"/>
        </w:rPr>
        <w:t xml:space="preserve">Document </w:t>
      </w:r>
      <w:r w:rsidR="52DC574C" w:rsidRPr="003019FF">
        <w:rPr>
          <w:rFonts w:ascii="Arial" w:hAnsi="Arial" w:cs="Arial"/>
          <w:b/>
          <w:bCs/>
          <w:sz w:val="24"/>
          <w:szCs w:val="24"/>
        </w:rPr>
        <w:t>for:</w:t>
      </w:r>
      <w:r>
        <w:rPr>
          <w:rFonts w:ascii="Arial" w:hAnsi="Arial" w:cs="Arial"/>
          <w:b/>
          <w:bCs/>
          <w:sz w:val="24"/>
        </w:rPr>
        <w:tab/>
      </w:r>
      <w:r w:rsidRPr="003252A4">
        <w:rPr>
          <w:rFonts w:ascii="Arial" w:hAnsi="Arial" w:cs="Arial"/>
          <w:b/>
          <w:bCs/>
          <w:sz w:val="24"/>
          <w:szCs w:val="24"/>
        </w:rPr>
        <w:t>Discussion and Decision</w:t>
      </w:r>
    </w:p>
    <w:p w14:paraId="6F6A7823" w14:textId="4FC9A914" w:rsidR="0034111C" w:rsidRPr="0016316A" w:rsidRDefault="00251EAE">
      <w:pPr>
        <w:pStyle w:val="Heading1"/>
      </w:pPr>
      <w:r>
        <w:t xml:space="preserve">1  </w:t>
      </w:r>
      <w:r w:rsidR="00EE7FA7" w:rsidRPr="0016316A">
        <w:t>Introduction</w:t>
      </w:r>
    </w:p>
    <w:p w14:paraId="287E8D3A" w14:textId="77777777" w:rsidR="00114873" w:rsidRPr="003019FF" w:rsidRDefault="00114873" w:rsidP="00B67613">
      <w:pPr>
        <w:spacing w:after="120"/>
        <w:jc w:val="both"/>
        <w:rPr>
          <w:lang w:val="en-US"/>
        </w:rPr>
      </w:pPr>
      <w:r>
        <w:rPr>
          <w:lang w:val="en-US"/>
        </w:rPr>
        <w:t>In RAN plenary #75, WID on new radio (NR) has been approved [1]. T</w:t>
      </w:r>
      <w:r w:rsidRPr="003252A4">
        <w:rPr>
          <w:lang w:val="en-US"/>
        </w:rPr>
        <w:t xml:space="preserve">he NR work item targets to specify the NR functionalities for both enhanced mobile broadband (eMBB) as well as for </w:t>
      </w:r>
      <w:r w:rsidRPr="003252A4">
        <w:rPr>
          <w:lang w:val="en-US" w:eastAsia="ja-JP"/>
        </w:rPr>
        <w:t>ultra-reliable</w:t>
      </w:r>
      <w:r w:rsidRPr="003252A4">
        <w:rPr>
          <w:lang w:val="en-US"/>
        </w:rPr>
        <w:t xml:space="preserve"> low-latency-communication</w:t>
      </w:r>
      <w:r w:rsidRPr="003252A4">
        <w:rPr>
          <w:lang w:val="en-US" w:eastAsia="ja-JP"/>
        </w:rPr>
        <w:t xml:space="preserve"> (</w:t>
      </w:r>
      <w:r>
        <w:rPr>
          <w:lang w:val="en-US"/>
        </w:rPr>
        <w:t>URLLC)</w:t>
      </w:r>
      <w:r w:rsidRPr="003252A4">
        <w:rPr>
          <w:sz w:val="24"/>
          <w:szCs w:val="24"/>
          <w:lang w:val="en-US"/>
        </w:rPr>
        <w:t xml:space="preserve"> </w:t>
      </w:r>
      <w:r>
        <w:rPr>
          <w:lang w:val="en-US"/>
        </w:rPr>
        <w:t xml:space="preserve">as defined in </w:t>
      </w:r>
      <w:r>
        <w:t>TR38.913 [2]</w:t>
      </w:r>
      <w:r>
        <w:rPr>
          <w:lang w:val="en-US"/>
        </w:rPr>
        <w:t xml:space="preserve">. </w:t>
      </w:r>
      <w:r w:rsidRPr="003252A4">
        <w:t>Frequency ranges up to 52.6 GHz are considered under the NR work item</w:t>
      </w:r>
    </w:p>
    <w:p w14:paraId="1D27BD2F" w14:textId="68544148" w:rsidR="0029703E" w:rsidRPr="003019FF" w:rsidRDefault="00114873" w:rsidP="00B67613">
      <w:pPr>
        <w:spacing w:after="120"/>
        <w:jc w:val="both"/>
        <w:rPr>
          <w:lang w:val="en-US"/>
        </w:rPr>
      </w:pPr>
      <w:r w:rsidRPr="003252A4">
        <w:rPr>
          <w:lang w:val="en-US"/>
        </w:rPr>
        <w:t xml:space="preserve">This contribution relates to the open aspects of HARQ processes and their management. In </w:t>
      </w:r>
      <w:r w:rsidR="0057216F" w:rsidRPr="003252A4">
        <w:rPr>
          <w:lang w:val="en-US"/>
        </w:rPr>
        <w:t>Section 2, we consider</w:t>
      </w:r>
      <w:r w:rsidR="00BC30B1" w:rsidRPr="003252A4">
        <w:rPr>
          <w:lang w:val="en-US"/>
        </w:rPr>
        <w:t xml:space="preserve"> the </w:t>
      </w:r>
      <w:r w:rsidR="0057216F" w:rsidRPr="00CA1F91">
        <w:rPr>
          <w:lang w:val="en-US"/>
        </w:rPr>
        <w:t>remaining details on HARQ feedback timing for DL HARQ, in Section 3, we address HARQ feedback determination, and in Section 4 we discuss the number of HA</w:t>
      </w:r>
      <w:r w:rsidR="0029703E" w:rsidRPr="00CA1F91">
        <w:rPr>
          <w:lang w:val="en-US"/>
        </w:rPr>
        <w:t>RQ processes. Observations and proposals are summarized in Section 5.</w:t>
      </w:r>
    </w:p>
    <w:p w14:paraId="18916B13" w14:textId="50CC221E" w:rsidR="0029703E" w:rsidRDefault="0029703E" w:rsidP="0029703E">
      <w:pPr>
        <w:pStyle w:val="Heading1"/>
      </w:pPr>
      <w:r>
        <w:rPr>
          <w:color w:val="000000"/>
        </w:rPr>
        <w:t>2</w:t>
      </w:r>
      <w:r w:rsidR="00251EAE">
        <w:rPr>
          <w:color w:val="000000"/>
        </w:rPr>
        <w:t xml:space="preserve">  </w:t>
      </w:r>
      <w:r w:rsidR="004D29CA">
        <w:rPr>
          <w:color w:val="000000"/>
        </w:rPr>
        <w:t>HARQ feedback timing</w:t>
      </w:r>
    </w:p>
    <w:p w14:paraId="2D19F806" w14:textId="3D8A7479" w:rsidR="004D29CA" w:rsidRDefault="004D29CA" w:rsidP="00B67613">
      <w:pPr>
        <w:spacing w:after="120"/>
        <w:jc w:val="both"/>
        <w:rPr>
          <w:bCs/>
        </w:rPr>
      </w:pPr>
      <w:r w:rsidRPr="003252A4">
        <w:t xml:space="preserve">In this section we consider the remaining details concerning the timing for DL HARQ in the NR, namely the delay </w:t>
      </w:r>
      <w:r w:rsidRPr="00AD3E93">
        <w:rPr>
          <w:rFonts w:eastAsia="MS Mincho"/>
          <w:lang w:val="en-US" w:eastAsia="ja-JP"/>
        </w:rPr>
        <w:t>between DL data (PDSCH) reception and corresponding acknowledgement transmission in UL (</w:t>
      </w:r>
      <w:r w:rsidRPr="003252A4">
        <w:rPr>
          <w:rFonts w:eastAsia="MS Mincho"/>
          <w:b/>
          <w:bCs/>
          <w:i/>
          <w:iCs/>
          <w:lang w:val="en-US" w:eastAsia="ja-JP"/>
        </w:rPr>
        <w:t>K1</w:t>
      </w:r>
      <w:r w:rsidRPr="00AD3E93">
        <w:rPr>
          <w:rFonts w:eastAsia="MS Mincho"/>
          <w:lang w:val="en-US" w:eastAsia="ja-JP"/>
        </w:rPr>
        <w:t xml:space="preserve">), as well as the </w:t>
      </w:r>
      <w:r w:rsidRPr="003252A4">
        <w:rPr>
          <w:lang w:val="en-US"/>
        </w:rPr>
        <w:t>delay between ACK/NAK reception in UL and corresponding retransmission of data (PDSCH) on DL (</w:t>
      </w:r>
      <w:r w:rsidRPr="003252A4">
        <w:rPr>
          <w:rFonts w:eastAsia="MS Mincho"/>
          <w:b/>
          <w:bCs/>
          <w:i/>
          <w:iCs/>
          <w:lang w:val="en-US" w:eastAsia="ja-JP"/>
        </w:rPr>
        <w:t>K3</w:t>
      </w:r>
      <w:r w:rsidRPr="003252A4">
        <w:rPr>
          <w:lang w:val="en-US"/>
        </w:rPr>
        <w:t>)</w:t>
      </w:r>
      <w:r w:rsidRPr="003252A4">
        <w:t xml:space="preserve">. </w:t>
      </w:r>
    </w:p>
    <w:p w14:paraId="7ECFA4BE" w14:textId="77777777" w:rsidR="004D29CA" w:rsidRPr="006E48B9" w:rsidRDefault="004D29CA" w:rsidP="00B67613">
      <w:pPr>
        <w:spacing w:after="200"/>
        <w:jc w:val="both"/>
        <w:textAlignment w:val="auto"/>
        <w:rPr>
          <w:rFonts w:eastAsia="MS Mincho"/>
          <w:lang w:val="en-US" w:eastAsia="ja-JP"/>
        </w:rPr>
      </w:pPr>
      <w:r w:rsidRPr="006E48B9">
        <w:rPr>
          <w:rFonts w:eastAsia="MS Mincho"/>
          <w:lang w:eastAsia="ja-JP"/>
        </w:rPr>
        <w:t>It was agreed in RAN1 NR A</w:t>
      </w:r>
      <w:r>
        <w:rPr>
          <w:rFonts w:eastAsia="MS Mincho"/>
          <w:lang w:eastAsia="ja-JP"/>
        </w:rPr>
        <w:t xml:space="preserve">d-Hoc </w:t>
      </w:r>
      <w:r w:rsidRPr="006E48B9">
        <w:rPr>
          <w:rFonts w:eastAsia="MS Mincho"/>
          <w:lang w:eastAsia="ja-JP"/>
        </w:rPr>
        <w:t>#2 that RAN1 should consider the UE processing time(s) in terms of symbols together with absolute time (in us), instead of slots (K)</w:t>
      </w:r>
      <w:r>
        <w:rPr>
          <w:rFonts w:eastAsia="MS Mincho"/>
          <w:lang w:eastAsia="ja-JP"/>
        </w:rPr>
        <w:t>. Parameter N1 illustrates</w:t>
      </w:r>
      <w:r w:rsidRPr="00624C5A">
        <w:rPr>
          <w:rFonts w:eastAsia="MS Mincho"/>
          <w:lang w:eastAsia="ja-JP"/>
        </w:rPr>
        <w:t xml:space="preserve"> </w:t>
      </w:r>
      <w:r w:rsidRPr="00BD373A">
        <w:rPr>
          <w:rFonts w:eastAsia="MS Mincho"/>
          <w:lang w:val="en-US" w:eastAsia="ja-JP"/>
        </w:rPr>
        <w:t>the number of OFDM symbols required for UE processing from the end of NR-PDSCH reception to the earliest possible start of the corresponding ACK/NACK transmission from UE perspective</w:t>
      </w:r>
      <w:r w:rsidRPr="00624C5A">
        <w:rPr>
          <w:rFonts w:eastAsia="MS Mincho"/>
          <w:lang w:eastAsia="ja-JP"/>
        </w:rPr>
        <w:t>.</w:t>
      </w:r>
      <w:r w:rsidRPr="00624C5A">
        <w:rPr>
          <w:rFonts w:ascii="Times" w:eastAsia="Yu Mincho" w:hAnsi="Times"/>
          <w:color w:val="000000" w:themeColor="text1"/>
          <w:kern w:val="24"/>
          <w:lang w:val="en-US" w:eastAsia="fi-FI"/>
        </w:rPr>
        <w:t xml:space="preserve"> </w:t>
      </w:r>
      <w:r w:rsidRPr="00624C5A">
        <w:rPr>
          <w:rFonts w:eastAsia="MS Mincho"/>
          <w:lang w:eastAsia="ja-JP"/>
        </w:rPr>
        <w:t>UE is not expected transmit anything in uplink if the network set the value of K</w:t>
      </w:r>
      <w:r>
        <w:rPr>
          <w:rFonts w:eastAsia="MS Mincho"/>
          <w:lang w:eastAsia="ja-JP"/>
        </w:rPr>
        <w:t>1</w:t>
      </w:r>
      <w:r w:rsidRPr="00624C5A">
        <w:rPr>
          <w:rFonts w:eastAsia="MS Mincho"/>
          <w:lang w:eastAsia="ja-JP"/>
        </w:rPr>
        <w:t xml:space="preserve"> without leaving sufficient time for UE processing</w:t>
      </w:r>
      <w:r>
        <w:rPr>
          <w:rFonts w:eastAsia="MS Mincho"/>
          <w:lang w:eastAsia="ja-JP"/>
        </w:rPr>
        <w:t>.</w:t>
      </w:r>
    </w:p>
    <w:p w14:paraId="292A0FDB" w14:textId="411A9978" w:rsidR="004D29CA" w:rsidRPr="003019FF" w:rsidRDefault="004D29CA">
      <w:pPr>
        <w:pStyle w:val="Heading2"/>
        <w:rPr>
          <w:sz w:val="28"/>
          <w:szCs w:val="28"/>
        </w:rPr>
      </w:pPr>
      <w:r w:rsidRPr="003252A4">
        <w:rPr>
          <w:sz w:val="28"/>
          <w:szCs w:val="28"/>
          <w:lang w:eastAsia="zh-CN"/>
        </w:rPr>
        <w:t>2</w:t>
      </w:r>
      <w:r w:rsidRPr="003252A4">
        <w:rPr>
          <w:sz w:val="28"/>
          <w:szCs w:val="28"/>
        </w:rPr>
        <w:t>.</w:t>
      </w:r>
      <w:r w:rsidRPr="003252A4">
        <w:rPr>
          <w:sz w:val="28"/>
          <w:szCs w:val="28"/>
          <w:lang w:eastAsia="zh-CN"/>
        </w:rPr>
        <w:t>1</w:t>
      </w:r>
      <w:r w:rsidR="003252A4">
        <w:rPr>
          <w:sz w:val="28"/>
          <w:szCs w:val="28"/>
          <w:lang w:eastAsia="zh-CN"/>
        </w:rPr>
        <w:t xml:space="preserve">  </w:t>
      </w:r>
      <w:r w:rsidR="009E50DE" w:rsidRPr="003252A4">
        <w:rPr>
          <w:sz w:val="28"/>
          <w:szCs w:val="28"/>
        </w:rPr>
        <w:t xml:space="preserve">PDSCH </w:t>
      </w:r>
      <w:r w:rsidRPr="003252A4">
        <w:rPr>
          <w:sz w:val="28"/>
          <w:szCs w:val="28"/>
        </w:rPr>
        <w:t>HARQ-ACK timing: slot based operation</w:t>
      </w:r>
    </w:p>
    <w:p w14:paraId="4FA73DD3" w14:textId="7D6123B1" w:rsidR="004D29CA" w:rsidRPr="003019FF" w:rsidRDefault="004D29CA" w:rsidP="00B67613">
      <w:pPr>
        <w:jc w:val="both"/>
        <w:rPr>
          <w:lang w:val="en-US"/>
        </w:rPr>
      </w:pPr>
      <w:r w:rsidRPr="003019FF">
        <w:rPr>
          <w:lang w:val="en-US"/>
        </w:rPr>
        <w:t xml:space="preserve">As agreed in </w:t>
      </w:r>
      <w:r>
        <w:rPr>
          <w:rFonts w:eastAsia="MS Mincho"/>
          <w:lang w:val="en-US" w:eastAsia="ja-JP"/>
        </w:rPr>
        <w:t>RAN1 NR Ad-Hoc #1, d</w:t>
      </w:r>
      <w:r w:rsidRPr="00DC4EC1">
        <w:rPr>
          <w:rFonts w:eastAsia="MS Mincho"/>
          <w:lang w:val="en-US" w:eastAsia="ja-JP"/>
        </w:rPr>
        <w:t xml:space="preserve">elay </w:t>
      </w:r>
      <w:r w:rsidRPr="00E70387">
        <w:rPr>
          <w:rFonts w:eastAsia="MS Mincho"/>
          <w:lang w:val="en-US" w:eastAsia="ja-JP"/>
        </w:rPr>
        <w:t>between DL data (PDSCH) reception and corresponding ack</w:t>
      </w:r>
      <w:r>
        <w:rPr>
          <w:rFonts w:eastAsia="MS Mincho"/>
          <w:lang w:val="en-US" w:eastAsia="ja-JP"/>
        </w:rPr>
        <w:t>nowledgement transmission in UL (</w:t>
      </w:r>
      <w:r w:rsidRPr="003252A4">
        <w:rPr>
          <w:rFonts w:eastAsia="MS Mincho"/>
          <w:b/>
          <w:bCs/>
          <w:i/>
          <w:iCs/>
          <w:lang w:val="en-US" w:eastAsia="ja-JP"/>
        </w:rPr>
        <w:t>K1</w:t>
      </w:r>
      <w:r>
        <w:rPr>
          <w:rFonts w:eastAsia="MS Mincho"/>
          <w:lang w:val="en-US" w:eastAsia="ja-JP"/>
        </w:rPr>
        <w:t xml:space="preserve">) is </w:t>
      </w:r>
      <w:r w:rsidRPr="003252A4">
        <w:rPr>
          <w:rFonts w:eastAsia="MS Mincho"/>
          <w:i/>
          <w:iCs/>
          <w:lang w:val="en-US" w:eastAsia="ja-JP"/>
        </w:rPr>
        <w:t xml:space="preserve">indicated by a field in the DCI from a set of values. </w:t>
      </w:r>
      <w:r w:rsidRPr="003019FF">
        <w:rPr>
          <w:lang w:val="en-US"/>
        </w:rPr>
        <w:t xml:space="preserve">The set of values are configured by higher layer signalling. Higher layer configuration for the allowed values for the timing relation allows to limit the amount of explicit signaling without compromising the indication flexibility too much. There are also cases where it is preferable to have HARQ-ACK timing relationships indicated to UE semi-statically. E.g. in the case of FDD deployments, the timing relationships can be fixed or semi-statically configured, and there is no need to include overhead in the DCI.  </w:t>
      </w:r>
    </w:p>
    <w:p w14:paraId="1A5805F9" w14:textId="1D9D770A" w:rsidR="004D29CA" w:rsidRPr="003019FF" w:rsidRDefault="004D29CA" w:rsidP="002A6B09">
      <w:pPr>
        <w:overflowPunct/>
        <w:autoSpaceDE/>
        <w:autoSpaceDN/>
        <w:adjustRightInd/>
        <w:jc w:val="both"/>
        <w:textAlignment w:val="auto"/>
        <w:rPr>
          <w:rFonts w:eastAsia="MS Mincho"/>
          <w:b/>
          <w:bCs/>
          <w:i/>
          <w:iCs/>
          <w:lang w:val="en-US" w:eastAsia="ja-JP"/>
        </w:rPr>
      </w:pPr>
      <w:r w:rsidRPr="003252A4">
        <w:rPr>
          <w:rFonts w:eastAsia="MS Mincho"/>
          <w:b/>
          <w:bCs/>
          <w:i/>
          <w:iCs/>
          <w:lang w:val="en-US" w:eastAsia="ja-JP"/>
        </w:rPr>
        <w:t xml:space="preserve">Proposal #1: </w:t>
      </w:r>
      <w:r w:rsidRPr="003252A4">
        <w:rPr>
          <w:rFonts w:eastAsia="MS Mincho"/>
          <w:i/>
          <w:iCs/>
          <w:lang w:val="en-US" w:eastAsia="ja-JP"/>
        </w:rPr>
        <w:t>Support semi-static configuration for timing relationship K1 in addition to the dynamic indication that was already agreed.</w:t>
      </w:r>
    </w:p>
    <w:p w14:paraId="3DE9DFF3" w14:textId="77777777" w:rsidR="004D29CA" w:rsidRPr="003019FF" w:rsidRDefault="004D29CA" w:rsidP="00B67613">
      <w:pPr>
        <w:spacing w:after="0"/>
        <w:jc w:val="both"/>
        <w:rPr>
          <w:rFonts w:eastAsia="MS Mincho"/>
          <w:sz w:val="18"/>
          <w:szCs w:val="18"/>
          <w:lang w:val="en-US" w:eastAsia="ja-JP"/>
        </w:rPr>
      </w:pPr>
      <w:r w:rsidRPr="003019FF">
        <w:rPr>
          <w:lang w:val="en-US"/>
        </w:rPr>
        <w:t xml:space="preserve">An open issue related to dynamic timing indication of the HARQ-ACK timing involving higher layer configuration is the operation in the cases when RRC connection has not yet been established. Timing must be defined according to a conservative approach since the gNB is not yet aware of the processing capability of the UE. </w:t>
      </w:r>
      <w:r>
        <w:rPr>
          <w:rFonts w:eastAsia="MS Mincho"/>
          <w:lang w:val="en-US" w:eastAsia="ja-JP"/>
        </w:rPr>
        <w:t xml:space="preserve">For timing relationships </w:t>
      </w:r>
      <w:r w:rsidRPr="003252A4">
        <w:rPr>
          <w:rFonts w:eastAsia="MS Mincho"/>
          <w:b/>
          <w:bCs/>
          <w:i/>
          <w:iCs/>
          <w:lang w:val="en-US" w:eastAsia="ja-JP"/>
        </w:rPr>
        <w:t>K1</w:t>
      </w:r>
      <w:r>
        <w:rPr>
          <w:rFonts w:eastAsia="MS Mincho"/>
          <w:lang w:val="en-US" w:eastAsia="ja-JP"/>
        </w:rPr>
        <w:t>, there are three options:</w:t>
      </w:r>
    </w:p>
    <w:p w14:paraId="5041337C" w14:textId="347E59A6" w:rsidR="004D29CA" w:rsidRPr="003019FF" w:rsidRDefault="004D29CA">
      <w:pPr>
        <w:pStyle w:val="ListParagraph"/>
        <w:numPr>
          <w:ilvl w:val="0"/>
          <w:numId w:val="27"/>
        </w:numPr>
        <w:rPr>
          <w:sz w:val="20"/>
          <w:szCs w:val="20"/>
          <w:lang w:val="en-US"/>
        </w:rPr>
      </w:pPr>
      <w:r w:rsidRPr="003019FF">
        <w:rPr>
          <w:sz w:val="20"/>
          <w:szCs w:val="20"/>
          <w:u w:val="single"/>
          <w:lang w:val="en-US"/>
        </w:rPr>
        <w:t>Option #1:</w:t>
      </w:r>
      <w:r w:rsidRPr="003019FF">
        <w:rPr>
          <w:sz w:val="20"/>
          <w:szCs w:val="20"/>
          <w:lang w:val="en-US"/>
        </w:rPr>
        <w:t xml:space="preserve"> A single value for K1 is defined according to a conservative UE processing time. For example, it can be defined that K1=3 or 4 (slots)    </w:t>
      </w:r>
    </w:p>
    <w:p w14:paraId="7060FD73" w14:textId="77DE6984" w:rsidR="004D29CA" w:rsidRPr="003019FF" w:rsidRDefault="004D29CA">
      <w:pPr>
        <w:pStyle w:val="ListParagraph"/>
        <w:numPr>
          <w:ilvl w:val="0"/>
          <w:numId w:val="27"/>
        </w:numPr>
        <w:rPr>
          <w:sz w:val="20"/>
          <w:szCs w:val="20"/>
          <w:lang w:val="en-US"/>
        </w:rPr>
      </w:pPr>
      <w:r w:rsidRPr="003019FF">
        <w:rPr>
          <w:sz w:val="20"/>
          <w:szCs w:val="20"/>
          <w:u w:val="single"/>
          <w:lang w:val="en-US"/>
        </w:rPr>
        <w:t>Option #2:</w:t>
      </w:r>
      <w:r w:rsidRPr="003019FF">
        <w:rPr>
          <w:sz w:val="20"/>
          <w:szCs w:val="20"/>
          <w:lang w:val="en-US"/>
        </w:rPr>
        <w:t xml:space="preserve"> A set of values for K1 is defined according to a conservative UE processing time. For example, it can be defined that K1= [3, 4, </w:t>
      </w:r>
      <w:r w:rsidR="52DC574C" w:rsidRPr="003019FF">
        <w:rPr>
          <w:sz w:val="20"/>
          <w:szCs w:val="20"/>
          <w:lang w:val="en-US"/>
        </w:rPr>
        <w:t>5</w:t>
      </w:r>
      <w:r w:rsidRPr="003019FF">
        <w:rPr>
          <w:sz w:val="20"/>
          <w:szCs w:val="20"/>
          <w:lang w:val="en-US"/>
        </w:rPr>
        <w:t xml:space="preserve">, </w:t>
      </w:r>
      <w:r w:rsidR="52DC574C" w:rsidRPr="003019FF">
        <w:rPr>
          <w:sz w:val="20"/>
          <w:szCs w:val="20"/>
          <w:lang w:val="en-US"/>
        </w:rPr>
        <w:t>6</w:t>
      </w:r>
      <w:r w:rsidRPr="003019FF">
        <w:rPr>
          <w:sz w:val="20"/>
          <w:szCs w:val="20"/>
          <w:lang w:val="en-US"/>
        </w:rPr>
        <w:t>] (slots)</w:t>
      </w:r>
    </w:p>
    <w:p w14:paraId="53E82A13" w14:textId="2A82DA6D" w:rsidR="004D29CA" w:rsidRPr="003019FF" w:rsidRDefault="004D29CA" w:rsidP="00B67613">
      <w:pPr>
        <w:pStyle w:val="ListParagraph"/>
        <w:numPr>
          <w:ilvl w:val="0"/>
          <w:numId w:val="27"/>
        </w:numPr>
        <w:spacing w:after="120"/>
        <w:ind w:left="714" w:hanging="357"/>
        <w:rPr>
          <w:sz w:val="20"/>
          <w:szCs w:val="20"/>
          <w:lang w:val="en-US"/>
        </w:rPr>
      </w:pPr>
      <w:r w:rsidRPr="003019FF">
        <w:rPr>
          <w:sz w:val="20"/>
          <w:szCs w:val="20"/>
          <w:u w:val="single"/>
          <w:lang w:val="en-US"/>
        </w:rPr>
        <w:t>Option #3:</w:t>
      </w:r>
      <w:r w:rsidRPr="003019FF">
        <w:rPr>
          <w:sz w:val="20"/>
          <w:szCs w:val="20"/>
          <w:lang w:val="en-US"/>
        </w:rPr>
        <w:t xml:space="preserve"> A single value or a set of values for K1 is configured by </w:t>
      </w:r>
      <w:r w:rsidR="11FB1E7F" w:rsidRPr="003019FF">
        <w:rPr>
          <w:sz w:val="20"/>
          <w:szCs w:val="20"/>
          <w:lang w:val="en-US"/>
        </w:rPr>
        <w:t>RMS</w:t>
      </w:r>
      <w:r w:rsidR="4CC09A50" w:rsidRPr="003019FF">
        <w:rPr>
          <w:sz w:val="20"/>
          <w:szCs w:val="20"/>
          <w:lang w:val="en-US"/>
        </w:rPr>
        <w:t>I</w:t>
      </w:r>
      <w:r w:rsidR="5D3612B8" w:rsidRPr="003019FF">
        <w:rPr>
          <w:sz w:val="20"/>
          <w:szCs w:val="20"/>
          <w:lang w:val="en-US"/>
        </w:rPr>
        <w:t>.</w:t>
      </w:r>
      <w:r w:rsidRPr="003019FF">
        <w:rPr>
          <w:sz w:val="20"/>
          <w:szCs w:val="20"/>
          <w:lang w:val="en-US"/>
        </w:rPr>
        <w:t xml:space="preserve"> </w:t>
      </w:r>
    </w:p>
    <w:p w14:paraId="6406C42E" w14:textId="6A839F53" w:rsidR="004D29CA" w:rsidRPr="003019FF" w:rsidRDefault="004D29CA" w:rsidP="003019FF">
      <w:pPr>
        <w:jc w:val="both"/>
        <w:rPr>
          <w:lang w:val="en-US"/>
        </w:rPr>
      </w:pPr>
      <w:r w:rsidRPr="003019FF">
        <w:rPr>
          <w:lang w:val="en-US"/>
        </w:rPr>
        <w:t xml:space="preserve">The benefit of Option #1 is that it does not require additional signalling bits in DL grant. On the other hand, Option #2 would facilitate TDD operation in a flexible manner minimizing the gNB scheduler restrictions also for UEs without RRC connection. Option #3 provides configurability for K1 at the expense of increased signalling overhead. We think that sufficient degree of flexibility is achieved already by a predefined set of values. Based on that we make the following proposal </w:t>
      </w:r>
      <w:r>
        <w:rPr>
          <w:lang w:eastAsia="x-none"/>
        </w:rPr>
        <w:t>(according to Option #2)</w:t>
      </w:r>
      <w:r w:rsidRPr="003019FF">
        <w:rPr>
          <w:lang w:val="en-US"/>
        </w:rPr>
        <w:t>:</w:t>
      </w:r>
    </w:p>
    <w:p w14:paraId="65F7D1A0" w14:textId="52EE44D8" w:rsidR="004D29CA" w:rsidRDefault="004D29CA" w:rsidP="00B67613">
      <w:pPr>
        <w:overflowPunct/>
        <w:autoSpaceDE/>
        <w:autoSpaceDN/>
        <w:adjustRightInd/>
        <w:textAlignment w:val="auto"/>
        <w:rPr>
          <w:rFonts w:eastAsia="MS Mincho"/>
          <w:lang w:val="en-US" w:eastAsia="ja-JP"/>
        </w:rPr>
      </w:pPr>
      <w:r w:rsidRPr="003252A4">
        <w:rPr>
          <w:rFonts w:eastAsia="MS Mincho"/>
          <w:b/>
          <w:bCs/>
          <w:i/>
          <w:iCs/>
          <w:lang w:val="en-US" w:eastAsia="ja-JP"/>
        </w:rPr>
        <w:lastRenderedPageBreak/>
        <w:t xml:space="preserve">Proposal #2: </w:t>
      </w:r>
      <w:r w:rsidRPr="003252A4">
        <w:rPr>
          <w:rFonts w:eastAsia="MS Mincho"/>
          <w:i/>
          <w:iCs/>
          <w:lang w:val="en-US" w:eastAsia="ja-JP"/>
        </w:rPr>
        <w:t>Consider a predefined set of values for dynamic timing indication of K1 for the case when the timings are unknown to UE.</w:t>
      </w:r>
    </w:p>
    <w:p w14:paraId="070B6C09" w14:textId="2781D86C" w:rsidR="004D29CA" w:rsidRPr="003019FF" w:rsidRDefault="004D29CA">
      <w:pPr>
        <w:pStyle w:val="Heading2"/>
        <w:rPr>
          <w:sz w:val="28"/>
          <w:szCs w:val="28"/>
        </w:rPr>
      </w:pPr>
      <w:r w:rsidRPr="003252A4">
        <w:rPr>
          <w:sz w:val="28"/>
          <w:szCs w:val="28"/>
          <w:lang w:eastAsia="zh-CN"/>
        </w:rPr>
        <w:t>2</w:t>
      </w:r>
      <w:r w:rsidRPr="003252A4">
        <w:rPr>
          <w:sz w:val="28"/>
          <w:szCs w:val="28"/>
        </w:rPr>
        <w:t>.</w:t>
      </w:r>
      <w:r w:rsidR="004A03B1" w:rsidRPr="003252A4">
        <w:rPr>
          <w:sz w:val="28"/>
          <w:szCs w:val="28"/>
          <w:lang w:eastAsia="zh-CN"/>
        </w:rPr>
        <w:t>2</w:t>
      </w:r>
      <w:r w:rsidR="003252A4" w:rsidRPr="0063180D">
        <w:rPr>
          <w:sz w:val="28"/>
          <w:szCs w:val="28"/>
        </w:rPr>
        <w:t xml:space="preserve">  </w:t>
      </w:r>
      <w:r w:rsidRPr="003252A4">
        <w:rPr>
          <w:sz w:val="28"/>
          <w:szCs w:val="28"/>
        </w:rPr>
        <w:t xml:space="preserve">Scheduling timing for </w:t>
      </w:r>
      <w:r w:rsidR="009E50DE" w:rsidRPr="003252A4">
        <w:rPr>
          <w:sz w:val="28"/>
          <w:szCs w:val="28"/>
        </w:rPr>
        <w:t xml:space="preserve">PDSCH </w:t>
      </w:r>
      <w:r w:rsidRPr="003252A4">
        <w:rPr>
          <w:sz w:val="28"/>
          <w:szCs w:val="28"/>
        </w:rPr>
        <w:t>retransmission: single HARQ-process</w:t>
      </w:r>
    </w:p>
    <w:p w14:paraId="5C3C533C" w14:textId="4BCA19AE" w:rsidR="004D29CA" w:rsidRDefault="0C2EDDEB" w:rsidP="004D29CA">
      <w:pPr>
        <w:overflowPunct/>
        <w:autoSpaceDE/>
        <w:autoSpaceDN/>
        <w:adjustRightInd/>
        <w:spacing w:after="0"/>
        <w:textAlignment w:val="auto"/>
        <w:rPr>
          <w:rFonts w:eastAsia="MS Mincho"/>
          <w:lang w:val="en-US" w:eastAsia="ja-JP"/>
        </w:rPr>
      </w:pPr>
      <w:r w:rsidRPr="003252A4">
        <w:rPr>
          <w:lang w:val="en-US"/>
        </w:rPr>
        <w:t>R</w:t>
      </w:r>
      <w:r w:rsidR="3D08E2D2" w:rsidRPr="003252A4">
        <w:rPr>
          <w:lang w:val="en-US"/>
        </w:rPr>
        <w:t>elated</w:t>
      </w:r>
      <w:r w:rsidR="004D29CA" w:rsidRPr="003252A4">
        <w:rPr>
          <w:lang w:val="en-US"/>
        </w:rPr>
        <w:t xml:space="preserve"> </w:t>
      </w:r>
      <w:r w:rsidR="3D08E2D2" w:rsidRPr="003252A4">
        <w:rPr>
          <w:lang w:val="en-US"/>
        </w:rPr>
        <w:t>to PDSCH retransmission, it was</w:t>
      </w:r>
      <w:r w:rsidR="004D29CA" w:rsidRPr="00CA1F91">
        <w:rPr>
          <w:lang w:val="en-US"/>
        </w:rPr>
        <w:t xml:space="preserve"> agreed in RAN1#86</w:t>
      </w:r>
      <w:r w:rsidR="3D08E2D2" w:rsidRPr="00CA1F91">
        <w:rPr>
          <w:lang w:val="en-US"/>
        </w:rPr>
        <w:t xml:space="preserve"> that</w:t>
      </w:r>
      <w:r w:rsidR="004D29CA" w:rsidRPr="0063180D">
        <w:rPr>
          <w:lang w:val="en-US"/>
        </w:rPr>
        <w:t xml:space="preserve"> </w:t>
      </w:r>
      <w:r w:rsidR="3D08E2D2" w:rsidRPr="0063180D">
        <w:rPr>
          <w:lang w:val="en-US"/>
        </w:rPr>
        <w:t>"</w:t>
      </w:r>
      <w:r w:rsidR="004D29CA" w:rsidRPr="00456E6D">
        <w:rPr>
          <w:rFonts w:eastAsia="MS Mincho"/>
          <w:lang w:val="en-US" w:eastAsia="ja-JP"/>
        </w:rPr>
        <w:t>NR design should strive to enable the possibility for</w:t>
      </w:r>
      <w:r w:rsidR="004D29CA" w:rsidRPr="00093AAD">
        <w:rPr>
          <w:rFonts w:eastAsia="MS Mincho"/>
          <w:lang w:val="en-US" w:eastAsia="ja-JP"/>
        </w:rPr>
        <w:t xml:space="preserve"> </w:t>
      </w:r>
    </w:p>
    <w:p w14:paraId="115206F5" w14:textId="77777777" w:rsidR="004D29CA" w:rsidRPr="003019FF" w:rsidRDefault="004D29CA" w:rsidP="003019FF">
      <w:pPr>
        <w:numPr>
          <w:ilvl w:val="0"/>
          <w:numId w:val="6"/>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Corresponding retransmission shortly (in the order of Z µs) after the end of acknowledgement reporting</w:t>
      </w:r>
    </w:p>
    <w:p w14:paraId="7358BBB7" w14:textId="2348031A" w:rsidR="004D29CA" w:rsidRPr="003019FF" w:rsidRDefault="004D29CA" w:rsidP="00B67613">
      <w:pPr>
        <w:numPr>
          <w:ilvl w:val="0"/>
          <w:numId w:val="6"/>
        </w:numPr>
        <w:overflowPunct/>
        <w:autoSpaceDE/>
        <w:autoSpaceDN/>
        <w:adjustRightInd/>
        <w:spacing w:after="120"/>
        <w:ind w:left="714" w:hanging="357"/>
        <w:textAlignment w:val="auto"/>
        <w:rPr>
          <w:rFonts w:eastAsia="MS Mincho"/>
          <w:i/>
          <w:iCs/>
          <w:sz w:val="18"/>
          <w:szCs w:val="18"/>
          <w:lang w:val="en-US" w:eastAsia="ja-JP"/>
        </w:rPr>
      </w:pPr>
      <w:r w:rsidRPr="003252A4">
        <w:rPr>
          <w:rFonts w:eastAsia="MS Mincho"/>
          <w:i/>
          <w:iCs/>
          <w:sz w:val="18"/>
          <w:szCs w:val="18"/>
          <w:lang w:val="en-US" w:eastAsia="ja-JP"/>
        </w:rPr>
        <w:t>FFS: Z in the order of a few tens of or hundreds of micro sec is feasible</w:t>
      </w:r>
      <w:r w:rsidR="53FC4D78" w:rsidRPr="003019FF">
        <w:rPr>
          <w:rFonts w:eastAsia="MS Mincho"/>
          <w:i/>
          <w:iCs/>
          <w:sz w:val="18"/>
          <w:szCs w:val="18"/>
          <w:lang w:val="en-US" w:eastAsia="ja-JP"/>
        </w:rPr>
        <w:t>.</w:t>
      </w:r>
      <w:r w:rsidR="3D08E2D2" w:rsidRPr="003252A4">
        <w:rPr>
          <w:rFonts w:eastAsia="MS Mincho"/>
          <w:i/>
          <w:iCs/>
          <w:sz w:val="18"/>
          <w:szCs w:val="18"/>
          <w:lang w:val="en-US" w:eastAsia="ja-JP"/>
        </w:rPr>
        <w:t>"</w:t>
      </w:r>
    </w:p>
    <w:p w14:paraId="2E26534B" w14:textId="036E8C8E" w:rsidR="004D29CA" w:rsidRDefault="004D29CA" w:rsidP="003019FF">
      <w:pPr>
        <w:overflowPunct/>
        <w:autoSpaceDE/>
        <w:autoSpaceDN/>
        <w:adjustRightInd/>
        <w:spacing w:after="0"/>
        <w:jc w:val="both"/>
        <w:textAlignment w:val="auto"/>
        <w:rPr>
          <w:rFonts w:eastAsia="MS Mincho"/>
          <w:lang w:val="en-US" w:eastAsia="ja-JP"/>
        </w:rPr>
      </w:pPr>
      <w:r w:rsidRPr="00C32035">
        <w:rPr>
          <w:rFonts w:eastAsia="MS Mincho"/>
          <w:lang w:val="en-US" w:eastAsia="ja-JP"/>
        </w:rPr>
        <w:t>Furthermore,</w:t>
      </w:r>
      <w:r>
        <w:rPr>
          <w:rFonts w:eastAsia="MS Mincho"/>
          <w:lang w:val="en-US" w:eastAsia="ja-JP"/>
        </w:rPr>
        <w:t xml:space="preserve"> it was agreed in RAN1#86bis that NR supports operation of one DL HARQ process for some UEs. Figure 2 and Figure 3 visualize parameter Z in an exemplary TDD scenario where consecutive slots are allocated to DL data. We assume 60 kHz subcarrier spacing, slot length of 7 OFDM symbols</w:t>
      </w:r>
      <w:r w:rsidR="00812B80">
        <w:rPr>
          <w:rFonts w:eastAsia="MS Mincho"/>
          <w:lang w:val="en-US" w:eastAsia="ja-JP"/>
        </w:rPr>
        <w:t xml:space="preserve"> (the principle holds also for 14 symbol slot)</w:t>
      </w:r>
      <w:r>
        <w:rPr>
          <w:rFonts w:eastAsia="MS Mincho"/>
          <w:lang w:val="en-US" w:eastAsia="ja-JP"/>
        </w:rPr>
        <w:t xml:space="preserve"> and self-contained operation for PDSCH </w:t>
      </w:r>
      <w:r w:rsidR="00CE18DD">
        <w:rPr>
          <w:rFonts w:eastAsia="MS Mincho"/>
          <w:lang w:val="en-US" w:eastAsia="ja-JP"/>
        </w:rPr>
        <w:t>HARQ-ACK</w:t>
      </w:r>
      <w:r>
        <w:rPr>
          <w:rFonts w:eastAsia="MS Mincho"/>
          <w:lang w:val="en-US" w:eastAsia="ja-JP"/>
        </w:rPr>
        <w:t xml:space="preserve"> feedback, respectively. It can be noted that design with a single HARQ process and self-contained operation results in a very tough processing requirements for the </w:t>
      </w:r>
      <w:r w:rsidR="00812B80">
        <w:rPr>
          <w:rFonts w:eastAsia="MS Mincho"/>
          <w:lang w:val="en-US" w:eastAsia="ja-JP"/>
        </w:rPr>
        <w:t>gNB</w:t>
      </w:r>
      <w:r>
        <w:rPr>
          <w:rFonts w:eastAsia="MS Mincho"/>
          <w:lang w:val="en-US" w:eastAsia="ja-JP"/>
        </w:rPr>
        <w:t>.</w:t>
      </w:r>
    </w:p>
    <w:p w14:paraId="0F5628CF" w14:textId="43DCFD7A" w:rsidR="004D29CA" w:rsidRPr="0082419F" w:rsidRDefault="004D29CA" w:rsidP="003019FF">
      <w:pPr>
        <w:pStyle w:val="ListParagraph"/>
        <w:numPr>
          <w:ilvl w:val="0"/>
          <w:numId w:val="7"/>
        </w:numPr>
        <w:jc w:val="both"/>
        <w:rPr>
          <w:rFonts w:eastAsia="MS Mincho"/>
          <w:lang w:val="en-US" w:eastAsia="ja-JP"/>
        </w:rPr>
      </w:pPr>
      <w:r w:rsidRPr="003252A4">
        <w:rPr>
          <w:rFonts w:eastAsia="MS Mincho"/>
          <w:sz w:val="20"/>
          <w:szCs w:val="20"/>
          <w:lang w:val="en-US" w:eastAsia="ja-JP"/>
        </w:rPr>
        <w:t xml:space="preserve">Maximum </w:t>
      </w:r>
      <w:r w:rsidR="00812B80">
        <w:rPr>
          <w:rFonts w:eastAsia="MS Mincho"/>
          <w:sz w:val="20"/>
          <w:szCs w:val="20"/>
          <w:lang w:val="en-US" w:eastAsia="ja-JP"/>
        </w:rPr>
        <w:t>gNB</w:t>
      </w:r>
      <w:r w:rsidR="00812B80" w:rsidRPr="003252A4">
        <w:rPr>
          <w:rFonts w:eastAsia="MS Mincho"/>
          <w:sz w:val="20"/>
          <w:szCs w:val="20"/>
          <w:lang w:val="en-US" w:eastAsia="ja-JP"/>
        </w:rPr>
        <w:t xml:space="preserve"> </w:t>
      </w:r>
      <w:r w:rsidRPr="003252A4">
        <w:rPr>
          <w:rFonts w:eastAsia="MS Mincho"/>
          <w:sz w:val="20"/>
          <w:szCs w:val="20"/>
          <w:lang w:val="en-US" w:eastAsia="ja-JP"/>
        </w:rPr>
        <w:t xml:space="preserve">processing time for HARQ-ACK detection, DL scheduling and preparing DL packet, </w:t>
      </w:r>
      <w:r w:rsidRPr="003252A4">
        <w:rPr>
          <w:rFonts w:eastAsia="MS Mincho"/>
          <w:i/>
          <w:iCs/>
          <w:sz w:val="20"/>
          <w:szCs w:val="20"/>
          <w:lang w:val="en-US" w:eastAsia="ja-JP"/>
        </w:rPr>
        <w:t>Z</w:t>
      </w:r>
      <w:r w:rsidRPr="003252A4">
        <w:rPr>
          <w:rFonts w:eastAsia="MS Mincho"/>
          <w:sz w:val="20"/>
          <w:szCs w:val="20"/>
          <w:lang w:val="en-US" w:eastAsia="ja-JP"/>
        </w:rPr>
        <w:t xml:space="preserve">, is less than 9 </w:t>
      </w:r>
      <w:r w:rsidRPr="00930884">
        <w:rPr>
          <w:rFonts w:eastAsia="MS Mincho"/>
          <w:sz w:val="20"/>
          <w:szCs w:val="20"/>
          <w:lang w:val="en-US" w:eastAsia="ja-JP"/>
        </w:rPr>
        <w:t>µs</w:t>
      </w:r>
      <w:r>
        <w:rPr>
          <w:rFonts w:eastAsia="MS Mincho"/>
          <w:sz w:val="20"/>
          <w:szCs w:val="20"/>
          <w:lang w:val="en-US" w:eastAsia="ja-JP"/>
        </w:rPr>
        <w:t xml:space="preserve"> in the current example (i.e. at the level of time needed to perform Rx-Tx switching at the </w:t>
      </w:r>
      <w:r w:rsidR="00812B80">
        <w:rPr>
          <w:rFonts w:eastAsia="MS Mincho"/>
          <w:sz w:val="20"/>
          <w:szCs w:val="20"/>
          <w:lang w:val="en-US" w:eastAsia="ja-JP"/>
        </w:rPr>
        <w:t>gNB</w:t>
      </w:r>
      <w:r>
        <w:rPr>
          <w:rFonts w:eastAsia="MS Mincho"/>
          <w:sz w:val="20"/>
          <w:szCs w:val="20"/>
          <w:lang w:val="en-US" w:eastAsia="ja-JP"/>
        </w:rPr>
        <w:t>)</w:t>
      </w:r>
    </w:p>
    <w:p w14:paraId="76AE1132" w14:textId="2DD5D066" w:rsidR="004D29CA" w:rsidRPr="004D29CA" w:rsidRDefault="00812B80" w:rsidP="00B67613">
      <w:pPr>
        <w:pStyle w:val="ListParagraph"/>
        <w:numPr>
          <w:ilvl w:val="0"/>
          <w:numId w:val="8"/>
        </w:numPr>
        <w:spacing w:after="120"/>
        <w:ind w:left="714" w:hanging="357"/>
        <w:jc w:val="both"/>
        <w:rPr>
          <w:rFonts w:eastAsia="MS Mincho"/>
          <w:lang w:val="en-US" w:eastAsia="ja-JP"/>
        </w:rPr>
      </w:pPr>
      <w:r>
        <w:rPr>
          <w:rFonts w:eastAsia="MS Mincho"/>
          <w:sz w:val="20"/>
          <w:szCs w:val="20"/>
          <w:lang w:val="en-US" w:eastAsia="ja-JP"/>
        </w:rPr>
        <w:t>gNB</w:t>
      </w:r>
      <w:r w:rsidRPr="0082419F">
        <w:rPr>
          <w:rFonts w:eastAsia="MS Mincho"/>
          <w:sz w:val="20"/>
          <w:szCs w:val="20"/>
          <w:lang w:val="en-US" w:eastAsia="ja-JP"/>
        </w:rPr>
        <w:t xml:space="preserve"> </w:t>
      </w:r>
      <w:r w:rsidR="004D29CA" w:rsidRPr="0082419F">
        <w:rPr>
          <w:rFonts w:eastAsia="MS Mincho"/>
          <w:sz w:val="20"/>
          <w:szCs w:val="20"/>
          <w:lang w:val="en-US" w:eastAsia="ja-JP"/>
        </w:rPr>
        <w:t xml:space="preserve">could provide more processing time by </w:t>
      </w:r>
      <w:r w:rsidR="004D29CA">
        <w:rPr>
          <w:rFonts w:eastAsia="MS Mincho"/>
          <w:sz w:val="20"/>
          <w:szCs w:val="20"/>
          <w:lang w:val="en-US" w:eastAsia="ja-JP"/>
        </w:rPr>
        <w:t>increased</w:t>
      </w:r>
      <w:r w:rsidR="004D29CA" w:rsidRPr="0082419F">
        <w:rPr>
          <w:rFonts w:eastAsia="MS Mincho"/>
          <w:sz w:val="20"/>
          <w:szCs w:val="20"/>
          <w:lang w:val="en-US" w:eastAsia="ja-JP"/>
        </w:rPr>
        <w:t xml:space="preserve"> GP length and increasing the timing advance value</w:t>
      </w:r>
      <w:r w:rsidR="004D29CA">
        <w:rPr>
          <w:rFonts w:eastAsia="MS Mincho"/>
          <w:sz w:val="20"/>
          <w:szCs w:val="20"/>
          <w:lang w:val="en-US" w:eastAsia="ja-JP"/>
        </w:rPr>
        <w:t xml:space="preserve"> accordingly</w:t>
      </w:r>
      <w:r w:rsidR="004D29CA" w:rsidRPr="0082419F">
        <w:rPr>
          <w:rFonts w:eastAsia="MS Mincho"/>
          <w:sz w:val="20"/>
          <w:szCs w:val="20"/>
          <w:lang w:val="en-US" w:eastAsia="ja-JP"/>
        </w:rPr>
        <w:t xml:space="preserve">. </w:t>
      </w:r>
      <w:r w:rsidR="004D29CA">
        <w:rPr>
          <w:rFonts w:eastAsia="MS Mincho"/>
          <w:sz w:val="20"/>
          <w:szCs w:val="20"/>
          <w:lang w:val="en-US" w:eastAsia="ja-JP"/>
        </w:rPr>
        <w:t>Again, t</w:t>
      </w:r>
      <w:r w:rsidR="004D29CA" w:rsidRPr="003252A4">
        <w:rPr>
          <w:rFonts w:eastAsia="MS Mincho"/>
          <w:sz w:val="20"/>
          <w:szCs w:val="20"/>
          <w:lang w:val="en-US" w:eastAsia="ja-JP"/>
        </w:rPr>
        <w:t>he problem of this approach is that spectrum efficiency will reduce accordingly. For example, puncturing one symbol for GP will create 1</w:t>
      </w:r>
      <w:r w:rsidR="004D29CA" w:rsidRPr="00CA1F91">
        <w:rPr>
          <w:rFonts w:eastAsia="MS Mincho"/>
          <w:sz w:val="20"/>
          <w:szCs w:val="20"/>
          <w:lang w:val="en-US" w:eastAsia="ja-JP"/>
        </w:rPr>
        <w:t xml:space="preserve">4% extra overhead. At the same time, the </w:t>
      </w:r>
      <w:r>
        <w:rPr>
          <w:rFonts w:eastAsia="MS Mincho"/>
          <w:sz w:val="20"/>
          <w:szCs w:val="20"/>
          <w:lang w:val="en-US" w:eastAsia="ja-JP"/>
        </w:rPr>
        <w:t>gNB</w:t>
      </w:r>
      <w:r w:rsidRPr="00CA1F91">
        <w:rPr>
          <w:rFonts w:eastAsia="MS Mincho"/>
          <w:sz w:val="20"/>
          <w:szCs w:val="20"/>
          <w:lang w:val="en-US" w:eastAsia="ja-JP"/>
        </w:rPr>
        <w:t xml:space="preserve"> </w:t>
      </w:r>
      <w:r w:rsidR="004D29CA" w:rsidRPr="00CA1F91">
        <w:rPr>
          <w:rFonts w:eastAsia="MS Mincho"/>
          <w:sz w:val="20"/>
          <w:szCs w:val="20"/>
          <w:lang w:val="en-US" w:eastAsia="ja-JP"/>
        </w:rPr>
        <w:t xml:space="preserve">processing time will increase only by 18 </w:t>
      </w:r>
      <w:r w:rsidR="004D29CA" w:rsidRPr="0082419F">
        <w:rPr>
          <w:rFonts w:eastAsia="MS Mincho"/>
          <w:sz w:val="20"/>
          <w:szCs w:val="20"/>
          <w:lang w:val="en-US" w:eastAsia="ja-JP"/>
        </w:rPr>
        <w:t>µs.</w:t>
      </w:r>
    </w:p>
    <w:p w14:paraId="0ED6A886" w14:textId="201138AC" w:rsidR="004D29CA" w:rsidRPr="003019FF" w:rsidRDefault="004D29CA" w:rsidP="003019FF">
      <w:pPr>
        <w:overflowPunct/>
        <w:autoSpaceDE/>
        <w:autoSpaceDN/>
        <w:adjustRightInd/>
        <w:spacing w:after="0"/>
        <w:jc w:val="both"/>
        <w:textAlignment w:val="auto"/>
        <w:rPr>
          <w:lang w:val="en-US"/>
        </w:rPr>
      </w:pPr>
      <w:r w:rsidRPr="003252A4">
        <w:rPr>
          <w:lang w:val="en-US"/>
        </w:rPr>
        <w:t xml:space="preserve">Increasing the number of HARQ processes is a much more efficient way to relax </w:t>
      </w:r>
      <w:r w:rsidR="00812B80">
        <w:rPr>
          <w:lang w:val="en-US"/>
        </w:rPr>
        <w:t>gNB</w:t>
      </w:r>
      <w:r w:rsidR="00812B80" w:rsidRPr="003252A4">
        <w:rPr>
          <w:lang w:val="en-US"/>
        </w:rPr>
        <w:t xml:space="preserve"> </w:t>
      </w:r>
      <w:r w:rsidRPr="003252A4">
        <w:rPr>
          <w:lang w:val="en-US"/>
        </w:rPr>
        <w:t>processing time requirements without increasing the GP overhead since each HARQ proces</w:t>
      </w:r>
      <w:r w:rsidRPr="00CA1F91">
        <w:rPr>
          <w:lang w:val="en-US"/>
        </w:rPr>
        <w:t xml:space="preserve">s will increase the </w:t>
      </w:r>
      <w:r w:rsidR="00812B80">
        <w:rPr>
          <w:lang w:val="en-US"/>
        </w:rPr>
        <w:t>gNB</w:t>
      </w:r>
      <w:r w:rsidR="00812B80" w:rsidRPr="00CA1F91">
        <w:rPr>
          <w:lang w:val="en-US"/>
        </w:rPr>
        <w:t xml:space="preserve"> </w:t>
      </w:r>
      <w:r w:rsidRPr="00CA1F91">
        <w:rPr>
          <w:lang w:val="en-US"/>
        </w:rPr>
        <w:t xml:space="preserve">processing time, Z, by the slot length (125 </w:t>
      </w:r>
      <w:r w:rsidR="00DC0DC2">
        <w:rPr>
          <w:rFonts w:eastAsia="MS Mincho"/>
          <w:lang w:val="en-US" w:eastAsia="ja-JP"/>
        </w:rPr>
        <w:t>m</w:t>
      </w:r>
      <w:r w:rsidR="00DC0DC2" w:rsidRPr="0082419F">
        <w:rPr>
          <w:rFonts w:eastAsia="MS Mincho"/>
          <w:lang w:val="en-US" w:eastAsia="ja-JP"/>
        </w:rPr>
        <w:t>s</w:t>
      </w:r>
      <w:r w:rsidR="00DC0DC2">
        <w:rPr>
          <w:rFonts w:eastAsia="MS Mincho"/>
          <w:lang w:val="en-US" w:eastAsia="ja-JP"/>
        </w:rPr>
        <w:t xml:space="preserve"> </w:t>
      </w:r>
      <w:r>
        <w:rPr>
          <w:rFonts w:eastAsia="MS Mincho"/>
          <w:lang w:val="en-US" w:eastAsia="ja-JP"/>
        </w:rPr>
        <w:t>in the current example</w:t>
      </w:r>
      <w:r w:rsidR="00DC0DC2">
        <w:rPr>
          <w:rFonts w:eastAsia="MS Mincho"/>
          <w:lang w:val="en-US" w:eastAsia="ja-JP"/>
        </w:rPr>
        <w:t>, and 250 ms with 14 symbol slot</w:t>
      </w:r>
      <w:r>
        <w:rPr>
          <w:rFonts w:eastAsia="MS Mincho"/>
          <w:lang w:val="en-US" w:eastAsia="ja-JP"/>
        </w:rPr>
        <w:t>).</w:t>
      </w:r>
      <w:r w:rsidRPr="003252A4">
        <w:rPr>
          <w:lang w:val="en-US"/>
        </w:rPr>
        <w:t xml:space="preserve"> This is illustrated in Figure 3.</w:t>
      </w:r>
    </w:p>
    <w:p w14:paraId="4B96A7B4" w14:textId="7D6B10D8" w:rsidR="004D29CA" w:rsidRDefault="004D29CA" w:rsidP="004142CD">
      <w:pPr>
        <w:overflowPunct/>
        <w:autoSpaceDE/>
        <w:autoSpaceDN/>
        <w:adjustRightInd/>
        <w:spacing w:after="0"/>
        <w:textAlignment w:val="auto"/>
        <w:rPr>
          <w:bCs/>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3"/>
        <w:gridCol w:w="1696"/>
      </w:tblGrid>
      <w:tr w:rsidR="004D29CA" w14:paraId="40BC26FA" w14:textId="77777777" w:rsidTr="004142CD">
        <w:tc>
          <w:tcPr>
            <w:tcW w:w="7933" w:type="dxa"/>
          </w:tcPr>
          <w:p w14:paraId="6DAC869F" w14:textId="77777777" w:rsidR="004D29CA" w:rsidRDefault="004D29CA" w:rsidP="004142CD">
            <w:pPr>
              <w:overflowPunct/>
              <w:autoSpaceDE/>
              <w:autoSpaceDN/>
              <w:adjustRightInd/>
              <w:spacing w:after="0"/>
              <w:jc w:val="center"/>
              <w:textAlignment w:val="auto"/>
              <w:rPr>
                <w:bCs/>
                <w:lang w:val="en-US"/>
              </w:rPr>
            </w:pPr>
            <w:r w:rsidRPr="00227A45">
              <w:rPr>
                <w:bCs/>
                <w:noProof/>
                <w:lang w:val="fi-FI" w:eastAsia="fi-FI"/>
              </w:rPr>
              <w:drawing>
                <wp:inline distT="0" distB="0" distL="0" distR="0" wp14:anchorId="47B5FA4A" wp14:editId="2B4FD24F">
                  <wp:extent cx="3240000" cy="12763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40000" cy="1276385"/>
                          </a:xfrm>
                          <a:prstGeom prst="rect">
                            <a:avLst/>
                          </a:prstGeom>
                          <a:noFill/>
                          <a:ln>
                            <a:noFill/>
                          </a:ln>
                        </pic:spPr>
                      </pic:pic>
                    </a:graphicData>
                  </a:graphic>
                </wp:inline>
              </w:drawing>
            </w:r>
          </w:p>
        </w:tc>
        <w:tc>
          <w:tcPr>
            <w:tcW w:w="1696" w:type="dxa"/>
          </w:tcPr>
          <w:p w14:paraId="0EB560A0" w14:textId="77777777" w:rsidR="004D29CA" w:rsidRDefault="004D29CA" w:rsidP="004142CD">
            <w:pPr>
              <w:overflowPunct/>
              <w:autoSpaceDE/>
              <w:autoSpaceDN/>
              <w:adjustRightInd/>
              <w:spacing w:after="0"/>
              <w:jc w:val="center"/>
              <w:textAlignment w:val="auto"/>
              <w:rPr>
                <w:bCs/>
                <w:lang w:val="en-US"/>
              </w:rPr>
            </w:pPr>
          </w:p>
          <w:p w14:paraId="5F488C1A" w14:textId="77777777" w:rsidR="004D29CA" w:rsidRDefault="004D29CA" w:rsidP="004142CD">
            <w:pPr>
              <w:overflowPunct/>
              <w:autoSpaceDE/>
              <w:autoSpaceDN/>
              <w:adjustRightInd/>
              <w:spacing w:after="0"/>
              <w:jc w:val="center"/>
              <w:textAlignment w:val="auto"/>
              <w:rPr>
                <w:bCs/>
                <w:lang w:val="en-US"/>
              </w:rPr>
            </w:pPr>
          </w:p>
          <w:p w14:paraId="7D33A133" w14:textId="77777777" w:rsidR="004D29CA" w:rsidRDefault="004D29CA" w:rsidP="004142CD">
            <w:pPr>
              <w:overflowPunct/>
              <w:autoSpaceDE/>
              <w:autoSpaceDN/>
              <w:adjustRightInd/>
              <w:spacing w:after="0"/>
              <w:jc w:val="center"/>
              <w:textAlignment w:val="auto"/>
              <w:rPr>
                <w:bCs/>
                <w:lang w:val="en-US"/>
              </w:rPr>
            </w:pPr>
            <w:r w:rsidRPr="0004718B">
              <w:rPr>
                <w:noProof/>
                <w:color w:val="C00000"/>
                <w:lang w:val="fi-FI" w:eastAsia="fi-FI"/>
              </w:rPr>
              <w:drawing>
                <wp:inline distT="0" distB="0" distL="0" distR="0" wp14:anchorId="3043E9FB" wp14:editId="38740E63">
                  <wp:extent cx="447870" cy="546354"/>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bl>
    <w:p w14:paraId="073AEBEB" w14:textId="5EF522E0" w:rsidR="004D29CA" w:rsidRDefault="004D29CA" w:rsidP="008125AC">
      <w:pPr>
        <w:pStyle w:val="Caption"/>
        <w:spacing w:after="240"/>
        <w:jc w:val="center"/>
        <w:rPr>
          <w:lang w:val="en-US"/>
        </w:rPr>
      </w:pPr>
      <w:r>
        <w:t xml:space="preserve">Figure </w:t>
      </w:r>
      <w:r w:rsidRPr="003019FF">
        <w:fldChar w:fldCharType="begin"/>
      </w:r>
      <w:r>
        <w:instrText xml:space="preserve"> SEQ Figure \* ARABIC </w:instrText>
      </w:r>
      <w:r w:rsidRPr="003019FF">
        <w:fldChar w:fldCharType="separate"/>
      </w:r>
      <w:r w:rsidR="00FB2505">
        <w:rPr>
          <w:noProof/>
        </w:rPr>
        <w:t>1</w:t>
      </w:r>
      <w:r w:rsidRPr="003019FF">
        <w:fldChar w:fldCharType="end"/>
      </w:r>
      <w:r w:rsidRPr="005256F3">
        <w:rPr>
          <w:lang w:val="en-US"/>
        </w:rPr>
        <w:t xml:space="preserve">. </w:t>
      </w:r>
      <w:r w:rsidR="00812B80">
        <w:rPr>
          <w:lang w:val="en-US"/>
        </w:rPr>
        <w:t xml:space="preserve">gNB </w:t>
      </w:r>
      <w:r>
        <w:rPr>
          <w:lang w:val="en-US"/>
        </w:rPr>
        <w:t>processing time with one HARQ process in DL.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8"/>
        <w:gridCol w:w="921"/>
      </w:tblGrid>
      <w:tr w:rsidR="004D29CA" w14:paraId="6632834C" w14:textId="77777777" w:rsidTr="004142CD">
        <w:tc>
          <w:tcPr>
            <w:tcW w:w="6803" w:type="dxa"/>
          </w:tcPr>
          <w:p w14:paraId="7A795455" w14:textId="77777777" w:rsidR="004D29CA" w:rsidRDefault="004D29CA" w:rsidP="004142CD">
            <w:pPr>
              <w:overflowPunct/>
              <w:autoSpaceDE/>
              <w:autoSpaceDN/>
              <w:adjustRightInd/>
              <w:spacing w:after="0"/>
              <w:ind w:firstLine="1026"/>
              <w:jc w:val="center"/>
              <w:textAlignment w:val="auto"/>
              <w:rPr>
                <w:bCs/>
                <w:lang w:val="en-US"/>
              </w:rPr>
            </w:pPr>
            <w:r w:rsidRPr="00227A45">
              <w:rPr>
                <w:bCs/>
                <w:noProof/>
                <w:lang w:val="fi-FI" w:eastAsia="fi-FI"/>
              </w:rPr>
              <w:drawing>
                <wp:inline distT="0" distB="0" distL="0" distR="0" wp14:anchorId="5758BB63" wp14:editId="0219B37D">
                  <wp:extent cx="4176000" cy="137046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76000" cy="1370468"/>
                          </a:xfrm>
                          <a:prstGeom prst="rect">
                            <a:avLst/>
                          </a:prstGeom>
                          <a:noFill/>
                          <a:ln>
                            <a:noFill/>
                          </a:ln>
                        </pic:spPr>
                      </pic:pic>
                    </a:graphicData>
                  </a:graphic>
                </wp:inline>
              </w:drawing>
            </w:r>
          </w:p>
        </w:tc>
        <w:tc>
          <w:tcPr>
            <w:tcW w:w="787" w:type="dxa"/>
          </w:tcPr>
          <w:p w14:paraId="1BA54967" w14:textId="77777777" w:rsidR="004D29CA" w:rsidRDefault="004D29CA" w:rsidP="004142CD">
            <w:pPr>
              <w:overflowPunct/>
              <w:autoSpaceDE/>
              <w:autoSpaceDN/>
              <w:adjustRightInd/>
              <w:spacing w:after="0"/>
              <w:jc w:val="center"/>
              <w:textAlignment w:val="auto"/>
              <w:rPr>
                <w:bCs/>
                <w:lang w:val="en-US"/>
              </w:rPr>
            </w:pPr>
          </w:p>
          <w:p w14:paraId="2EFDA619" w14:textId="77777777" w:rsidR="004D29CA" w:rsidRDefault="004D29CA" w:rsidP="004142CD">
            <w:pPr>
              <w:overflowPunct/>
              <w:autoSpaceDE/>
              <w:autoSpaceDN/>
              <w:adjustRightInd/>
              <w:spacing w:after="0"/>
              <w:jc w:val="center"/>
              <w:textAlignment w:val="auto"/>
              <w:rPr>
                <w:bCs/>
                <w:lang w:val="en-US"/>
              </w:rPr>
            </w:pPr>
          </w:p>
          <w:p w14:paraId="53D9D0F7" w14:textId="77777777" w:rsidR="004D29CA" w:rsidRDefault="004D29CA" w:rsidP="004142CD">
            <w:pPr>
              <w:overflowPunct/>
              <w:autoSpaceDE/>
              <w:autoSpaceDN/>
              <w:adjustRightInd/>
              <w:spacing w:after="0"/>
              <w:jc w:val="center"/>
              <w:textAlignment w:val="auto"/>
              <w:rPr>
                <w:bCs/>
                <w:lang w:val="en-US"/>
              </w:rPr>
            </w:pPr>
            <w:r w:rsidRPr="0004718B">
              <w:rPr>
                <w:noProof/>
                <w:color w:val="C00000"/>
                <w:lang w:val="fi-FI" w:eastAsia="fi-FI"/>
              </w:rPr>
              <w:drawing>
                <wp:inline distT="0" distB="0" distL="0" distR="0" wp14:anchorId="2F0772D1" wp14:editId="4BCC7C71">
                  <wp:extent cx="447870" cy="546354"/>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bl>
    <w:p w14:paraId="3AE3E635" w14:textId="4850FF07" w:rsidR="004D29CA" w:rsidRPr="005256F3" w:rsidRDefault="004D29CA" w:rsidP="00B67613">
      <w:pPr>
        <w:pStyle w:val="Caption"/>
        <w:spacing w:after="240"/>
        <w:jc w:val="center"/>
        <w:rPr>
          <w:lang w:val="en-US"/>
        </w:rPr>
      </w:pPr>
      <w:r>
        <w:t xml:space="preserve">Figure </w:t>
      </w:r>
      <w:r w:rsidRPr="003019FF">
        <w:fldChar w:fldCharType="begin"/>
      </w:r>
      <w:r>
        <w:instrText xml:space="preserve"> SEQ Figure \* ARABIC </w:instrText>
      </w:r>
      <w:r w:rsidRPr="003019FF">
        <w:fldChar w:fldCharType="separate"/>
      </w:r>
      <w:r w:rsidR="00FB2505">
        <w:rPr>
          <w:noProof/>
        </w:rPr>
        <w:t>2</w:t>
      </w:r>
      <w:r w:rsidRPr="003019FF">
        <w:fldChar w:fldCharType="end"/>
      </w:r>
      <w:r w:rsidRPr="005256F3">
        <w:rPr>
          <w:lang w:val="en-US"/>
        </w:rPr>
        <w:t xml:space="preserve">. </w:t>
      </w:r>
      <w:r w:rsidR="00812B80">
        <w:rPr>
          <w:lang w:val="en-US"/>
        </w:rPr>
        <w:t xml:space="preserve">gNB </w:t>
      </w:r>
      <w:r>
        <w:rPr>
          <w:lang w:val="en-US"/>
        </w:rPr>
        <w:t>processing time with two HARQ processes in DL.</w:t>
      </w:r>
    </w:p>
    <w:p w14:paraId="1E8C4A42" w14:textId="66548BC7" w:rsidR="004D29CA" w:rsidRPr="003019FF" w:rsidRDefault="004D29CA" w:rsidP="00B67613">
      <w:pPr>
        <w:overflowPunct/>
        <w:autoSpaceDE/>
        <w:autoSpaceDN/>
        <w:adjustRightInd/>
        <w:jc w:val="both"/>
        <w:textAlignment w:val="auto"/>
        <w:rPr>
          <w:lang w:val="en-US"/>
        </w:rPr>
      </w:pPr>
      <w:r w:rsidRPr="003252A4">
        <w:rPr>
          <w:lang w:val="en-US"/>
        </w:rPr>
        <w:t xml:space="preserve">Based on the discussion above, it is quite clear that operation with only one HARQ process </w:t>
      </w:r>
      <w:r>
        <w:rPr>
          <w:rFonts w:eastAsia="MS Mincho"/>
          <w:lang w:val="en-US" w:eastAsia="ja-JP"/>
        </w:rPr>
        <w:t xml:space="preserve">cannot be seen as the baseline scheme for NR DL, provided that </w:t>
      </w:r>
      <w:r w:rsidRPr="003252A4">
        <w:rPr>
          <w:lang w:val="en-US"/>
        </w:rPr>
        <w:t>continuous DL transmission is needed</w:t>
      </w:r>
      <w:r w:rsidR="248E0716" w:rsidRPr="003252A4">
        <w:rPr>
          <w:lang w:val="en-US"/>
        </w:rPr>
        <w:t xml:space="preserve"> </w:t>
      </w:r>
      <w:r w:rsidR="1D1DB85D" w:rsidRPr="003252A4">
        <w:rPr>
          <w:lang w:val="en-US"/>
        </w:rPr>
        <w:t>for an UE</w:t>
      </w:r>
      <w:r w:rsidRPr="003252A4">
        <w:rPr>
          <w:lang w:val="en-US"/>
        </w:rPr>
        <w:t xml:space="preserve">. </w:t>
      </w:r>
      <w:r>
        <w:rPr>
          <w:lang w:val="en-US"/>
        </w:rPr>
        <w:t xml:space="preserve">On the other hand, </w:t>
      </w:r>
      <w:r w:rsidRPr="003252A4">
        <w:rPr>
          <w:lang w:val="en-US"/>
        </w:rPr>
        <w:t xml:space="preserve">when using asynchronous HARQ, it’s up-to </w:t>
      </w:r>
      <w:r w:rsidR="00812B80">
        <w:rPr>
          <w:lang w:val="en-US"/>
        </w:rPr>
        <w:t>gNB</w:t>
      </w:r>
      <w:r w:rsidR="00812B80" w:rsidRPr="003252A4">
        <w:rPr>
          <w:lang w:val="en-US"/>
        </w:rPr>
        <w:t xml:space="preserve"> </w:t>
      </w:r>
      <w:r w:rsidRPr="003252A4">
        <w:rPr>
          <w:lang w:val="en-US"/>
        </w:rPr>
        <w:t xml:space="preserve">to schedule different UEs and HARQ processes for different slots. The specification may support allocation of the same HARQ process into consecutive slots. Following this logic, there is no need to define the exact value for parameter </w:t>
      </w:r>
      <w:r w:rsidRPr="00CA1F91">
        <w:rPr>
          <w:i/>
          <w:iCs/>
          <w:lang w:val="en-US"/>
        </w:rPr>
        <w:t>K3 (Delay between ACK/NAK reception in UL and corresponding retransmission of data (PDSCH) on DL)</w:t>
      </w:r>
      <w:r w:rsidRPr="0063180D">
        <w:rPr>
          <w:lang w:val="en-US"/>
        </w:rPr>
        <w:t xml:space="preserve">. Hence, in order to support continuous DL transmission as well as minimizing the GP/UL overhead by means of DL only slots, multiple HARQ processes need to be supported in the NR downlink. This should be the case also with self-contained operation. </w:t>
      </w:r>
    </w:p>
    <w:p w14:paraId="1196680A" w14:textId="54834222" w:rsidR="004D29CA" w:rsidRPr="003019FF" w:rsidRDefault="004D29CA">
      <w:pPr>
        <w:overflowPunct/>
        <w:autoSpaceDE/>
        <w:autoSpaceDN/>
        <w:adjustRightInd/>
        <w:textAlignment w:val="auto"/>
        <w:rPr>
          <w:rFonts w:eastAsia="MS Mincho"/>
          <w:i/>
          <w:iCs/>
          <w:lang w:val="en-US" w:eastAsia="ja-JP"/>
        </w:rPr>
      </w:pPr>
      <w:r w:rsidRPr="003252A4">
        <w:rPr>
          <w:rFonts w:eastAsia="MS Mincho"/>
          <w:b/>
          <w:bCs/>
          <w:i/>
          <w:iCs/>
          <w:lang w:val="en-US" w:eastAsia="ja-JP"/>
        </w:rPr>
        <w:t>Observation #</w:t>
      </w:r>
      <w:r w:rsidR="00B33316" w:rsidRPr="003252A4">
        <w:rPr>
          <w:rFonts w:eastAsia="MS Mincho"/>
          <w:b/>
          <w:bCs/>
          <w:i/>
          <w:iCs/>
          <w:lang w:val="en-US" w:eastAsia="ja-JP"/>
        </w:rPr>
        <w:t>1</w:t>
      </w:r>
      <w:r w:rsidRPr="003252A4">
        <w:rPr>
          <w:rFonts w:eastAsia="MS Mincho"/>
          <w:b/>
          <w:bCs/>
          <w:i/>
          <w:iCs/>
          <w:lang w:val="en-US" w:eastAsia="ja-JP"/>
        </w:rPr>
        <w:t xml:space="preserve">: </w:t>
      </w:r>
      <w:r w:rsidRPr="003252A4">
        <w:rPr>
          <w:rFonts w:eastAsia="MS Mincho"/>
          <w:i/>
          <w:iCs/>
          <w:lang w:val="en-US" w:eastAsia="ja-JP"/>
        </w:rPr>
        <w:t>There is no need to define the exact value for the parameter K3.</w:t>
      </w:r>
    </w:p>
    <w:p w14:paraId="6F31E587" w14:textId="1E788101" w:rsidR="004D29CA" w:rsidRDefault="004D29CA" w:rsidP="00B67613">
      <w:pPr>
        <w:overflowPunct/>
        <w:autoSpaceDE/>
        <w:autoSpaceDN/>
        <w:adjustRightInd/>
        <w:jc w:val="both"/>
        <w:textAlignment w:val="auto"/>
        <w:rPr>
          <w:rFonts w:eastAsia="MS Mincho"/>
          <w:lang w:val="en-US" w:eastAsia="ja-JP"/>
        </w:rPr>
      </w:pPr>
      <w:r w:rsidRPr="003252A4">
        <w:rPr>
          <w:rFonts w:eastAsia="MS Mincho"/>
          <w:b/>
          <w:bCs/>
          <w:i/>
          <w:iCs/>
          <w:lang w:val="en-US" w:eastAsia="ja-JP"/>
        </w:rPr>
        <w:t>Proposal #</w:t>
      </w:r>
      <w:r w:rsidR="00153402" w:rsidRPr="003252A4">
        <w:rPr>
          <w:rFonts w:eastAsia="MS Mincho"/>
          <w:b/>
          <w:bCs/>
          <w:i/>
          <w:iCs/>
          <w:lang w:val="en-US" w:eastAsia="ja-JP"/>
        </w:rPr>
        <w:t>3</w:t>
      </w:r>
      <w:r w:rsidRPr="003252A4">
        <w:rPr>
          <w:rFonts w:eastAsia="MS Mincho"/>
          <w:b/>
          <w:bCs/>
          <w:i/>
          <w:iCs/>
          <w:lang w:val="en-US" w:eastAsia="ja-JP"/>
        </w:rPr>
        <w:t xml:space="preserve">: </w:t>
      </w:r>
      <w:r w:rsidRPr="003252A4">
        <w:rPr>
          <w:rFonts w:eastAsia="MS Mincho"/>
          <w:i/>
          <w:iCs/>
          <w:lang w:val="en-US" w:eastAsia="ja-JP"/>
        </w:rPr>
        <w:t xml:space="preserve">Multiple DL HARQ processes are supported to facilitate continuous DL transmission also with self-contained operation. </w:t>
      </w:r>
    </w:p>
    <w:p w14:paraId="099026EA" w14:textId="7DE779BC" w:rsidR="004D29CA" w:rsidRPr="003019FF" w:rsidRDefault="004D29CA">
      <w:pPr>
        <w:pStyle w:val="Heading2"/>
        <w:rPr>
          <w:sz w:val="28"/>
          <w:szCs w:val="28"/>
        </w:rPr>
      </w:pPr>
      <w:r w:rsidRPr="003252A4">
        <w:rPr>
          <w:sz w:val="28"/>
          <w:szCs w:val="28"/>
          <w:lang w:eastAsia="zh-CN"/>
        </w:rPr>
        <w:lastRenderedPageBreak/>
        <w:t>2</w:t>
      </w:r>
      <w:r w:rsidRPr="003252A4">
        <w:rPr>
          <w:sz w:val="28"/>
          <w:szCs w:val="28"/>
        </w:rPr>
        <w:t>.</w:t>
      </w:r>
      <w:r w:rsidR="00277DD0" w:rsidRPr="003252A4">
        <w:rPr>
          <w:sz w:val="28"/>
          <w:szCs w:val="28"/>
          <w:lang w:eastAsia="zh-CN"/>
        </w:rPr>
        <w:t>3</w:t>
      </w:r>
      <w:r w:rsidR="003252A4" w:rsidRPr="0063180D">
        <w:rPr>
          <w:sz w:val="28"/>
          <w:szCs w:val="28"/>
        </w:rPr>
        <w:t xml:space="preserve">  </w:t>
      </w:r>
      <w:r w:rsidRPr="003252A4">
        <w:rPr>
          <w:sz w:val="28"/>
          <w:szCs w:val="28"/>
        </w:rPr>
        <w:t>HARQ-ACK timing: mini-slot based operation</w:t>
      </w:r>
    </w:p>
    <w:p w14:paraId="7A31855E" w14:textId="77777777" w:rsidR="004D29CA" w:rsidRDefault="004D29CA" w:rsidP="00B67613">
      <w:pPr>
        <w:overflowPunct/>
        <w:autoSpaceDE/>
        <w:autoSpaceDN/>
        <w:adjustRightInd/>
        <w:spacing w:before="100" w:beforeAutospacing="1" w:after="60"/>
        <w:jc w:val="both"/>
        <w:textAlignment w:val="auto"/>
      </w:pPr>
      <w:r>
        <w:rPr>
          <w:lang w:val="en-US"/>
        </w:rPr>
        <w:t xml:space="preserve">Generally speaking, flexible </w:t>
      </w:r>
      <w:r>
        <w:t xml:space="preserve">mini-slot based operation for transmission of HARQ-ACK in UL requires that DCI contains:   </w:t>
      </w:r>
    </w:p>
    <w:p w14:paraId="58D66759" w14:textId="1D9F1A6F" w:rsidR="004D29CA" w:rsidRPr="006520EB" w:rsidRDefault="004D29CA" w:rsidP="00B67613">
      <w:pPr>
        <w:pStyle w:val="ListParagraph"/>
        <w:numPr>
          <w:ilvl w:val="0"/>
          <w:numId w:val="28"/>
        </w:numPr>
        <w:jc w:val="both"/>
        <w:rPr>
          <w:sz w:val="20"/>
          <w:szCs w:val="20"/>
          <w:lang w:val="en-US"/>
        </w:rPr>
      </w:pPr>
      <w:r w:rsidRPr="006520EB">
        <w:rPr>
          <w:sz w:val="20"/>
          <w:szCs w:val="20"/>
          <w:lang w:val="en-US"/>
        </w:rPr>
        <w:t xml:space="preserve">The starting position of </w:t>
      </w:r>
      <w:r>
        <w:rPr>
          <w:sz w:val="20"/>
          <w:szCs w:val="20"/>
          <w:lang w:val="en-US"/>
        </w:rPr>
        <w:t xml:space="preserve">(short) </w:t>
      </w:r>
      <w:r w:rsidRPr="006520EB">
        <w:rPr>
          <w:sz w:val="20"/>
          <w:szCs w:val="20"/>
          <w:lang w:val="en-US"/>
        </w:rPr>
        <w:t>P</w:t>
      </w:r>
      <w:r>
        <w:rPr>
          <w:sz w:val="20"/>
          <w:szCs w:val="20"/>
          <w:lang w:val="en-US"/>
        </w:rPr>
        <w:t>UCCH</w:t>
      </w:r>
      <w:r w:rsidRPr="006520EB">
        <w:rPr>
          <w:sz w:val="20"/>
          <w:szCs w:val="20"/>
          <w:lang w:val="en-US"/>
        </w:rPr>
        <w:t xml:space="preserve"> transmission with symbol level granularity</w:t>
      </w:r>
      <w:r>
        <w:rPr>
          <w:sz w:val="20"/>
          <w:szCs w:val="20"/>
          <w:lang w:val="en-US"/>
        </w:rPr>
        <w:t>.</w:t>
      </w:r>
      <w:r w:rsidR="007F7CA6">
        <w:rPr>
          <w:sz w:val="20"/>
          <w:szCs w:val="20"/>
          <w:lang w:val="en-US"/>
        </w:rPr>
        <w:t xml:space="preserve"> The DCI should contain also an indication of which slot it applies to.</w:t>
      </w:r>
    </w:p>
    <w:p w14:paraId="37D7B8B4" w14:textId="5423BE56" w:rsidR="00F620E7" w:rsidRDefault="004D29CA" w:rsidP="00B67613">
      <w:pPr>
        <w:pStyle w:val="ListParagraph"/>
        <w:numPr>
          <w:ilvl w:val="0"/>
          <w:numId w:val="28"/>
        </w:numPr>
        <w:spacing w:after="120"/>
        <w:ind w:left="714" w:hanging="357"/>
        <w:jc w:val="both"/>
        <w:rPr>
          <w:sz w:val="20"/>
          <w:szCs w:val="20"/>
          <w:lang w:val="en-US"/>
        </w:rPr>
      </w:pPr>
      <w:r w:rsidRPr="00F3636B">
        <w:rPr>
          <w:sz w:val="20"/>
          <w:szCs w:val="20"/>
          <w:lang w:val="en-US"/>
        </w:rPr>
        <w:t>The length of the (short) PUCCH transmission with symbol level granularity.</w:t>
      </w:r>
      <w:r w:rsidR="00F620E7">
        <w:rPr>
          <w:sz w:val="20"/>
          <w:szCs w:val="20"/>
          <w:lang w:val="en-US"/>
        </w:rPr>
        <w:t xml:space="preserve"> This can be indicated dynamically from the </w:t>
      </w:r>
      <w:r w:rsidR="00F620E7" w:rsidRPr="00044D97">
        <w:rPr>
          <w:sz w:val="20"/>
          <w:szCs w:val="20"/>
          <w:lang w:val="en-US"/>
        </w:rPr>
        <w:t>set of values configured by higher layer signalling</w:t>
      </w:r>
      <w:r w:rsidR="00F620E7">
        <w:rPr>
          <w:sz w:val="20"/>
          <w:szCs w:val="20"/>
          <w:lang w:val="en-US"/>
        </w:rPr>
        <w:t>. Another option is to configure the short PUCCH length in semi-static manner.</w:t>
      </w:r>
    </w:p>
    <w:p w14:paraId="3AC8FBF6" w14:textId="36B56BC7" w:rsidR="00C55A6A" w:rsidRPr="003019FF" w:rsidRDefault="00C55A6A" w:rsidP="00B67613">
      <w:pPr>
        <w:jc w:val="both"/>
        <w:rPr>
          <w:lang w:val="en-US"/>
        </w:rPr>
      </w:pPr>
      <w:r>
        <w:rPr>
          <w:lang w:val="en-US"/>
        </w:rPr>
        <w:t xml:space="preserve">In order to minimize the DCI overhead, it should be possible to indicate both starting </w:t>
      </w:r>
      <w:r w:rsidR="00153402">
        <w:rPr>
          <w:lang w:val="en-US"/>
        </w:rPr>
        <w:t>symbol</w:t>
      </w:r>
      <w:r>
        <w:rPr>
          <w:lang w:val="en-US"/>
        </w:rPr>
        <w:t xml:space="preserve"> and </w:t>
      </w:r>
      <w:r w:rsidR="005E2C10">
        <w:rPr>
          <w:lang w:val="en-US"/>
        </w:rPr>
        <w:t>the PUCCH duration</w:t>
      </w:r>
      <w:r>
        <w:rPr>
          <w:lang w:val="en-US"/>
        </w:rPr>
        <w:t xml:space="preserve"> using a single timing index configured by RRC.</w:t>
      </w:r>
    </w:p>
    <w:p w14:paraId="0EA851F5" w14:textId="21C27835" w:rsidR="000A446A" w:rsidRPr="003019FF" w:rsidRDefault="000A446A" w:rsidP="00B67613">
      <w:pPr>
        <w:overflowPunct/>
        <w:autoSpaceDE/>
        <w:autoSpaceDN/>
        <w:adjustRightInd/>
        <w:jc w:val="both"/>
        <w:textAlignment w:val="auto"/>
        <w:rPr>
          <w:rFonts w:eastAsia="MS Mincho"/>
          <w:i/>
          <w:iCs/>
          <w:lang w:val="en-US" w:eastAsia="ja-JP"/>
        </w:rPr>
      </w:pPr>
      <w:r w:rsidRPr="003252A4">
        <w:rPr>
          <w:rFonts w:eastAsia="MS Mincho"/>
          <w:b/>
          <w:bCs/>
          <w:i/>
          <w:iCs/>
          <w:lang w:val="en-US" w:eastAsia="ja-JP"/>
        </w:rPr>
        <w:t>Proposal #</w:t>
      </w:r>
      <w:r w:rsidR="00153402" w:rsidRPr="003252A4">
        <w:rPr>
          <w:rFonts w:eastAsia="MS Mincho"/>
          <w:b/>
          <w:bCs/>
          <w:i/>
          <w:iCs/>
          <w:lang w:val="en-US" w:eastAsia="ja-JP"/>
        </w:rPr>
        <w:t>4</w:t>
      </w:r>
      <w:r w:rsidRPr="003252A4">
        <w:rPr>
          <w:rFonts w:eastAsia="MS Mincho"/>
          <w:b/>
          <w:bCs/>
          <w:i/>
          <w:iCs/>
          <w:lang w:val="en-US" w:eastAsia="ja-JP"/>
        </w:rPr>
        <w:t xml:space="preserve">: </w:t>
      </w:r>
      <w:r w:rsidR="00DC0DC2" w:rsidRPr="003252A4">
        <w:rPr>
          <w:rFonts w:eastAsia="MS Mincho"/>
          <w:i/>
          <w:iCs/>
          <w:lang w:val="en-US" w:eastAsia="ja-JP"/>
        </w:rPr>
        <w:t>Support indication of</w:t>
      </w:r>
      <w:r w:rsidRPr="003252A4">
        <w:rPr>
          <w:rFonts w:eastAsia="MS Mincho"/>
          <w:i/>
          <w:iCs/>
          <w:lang w:val="en-US" w:eastAsia="ja-JP"/>
        </w:rPr>
        <w:t xml:space="preserve"> both starting position and </w:t>
      </w:r>
      <w:r w:rsidR="005E2C10" w:rsidRPr="00CA1F91">
        <w:rPr>
          <w:rFonts w:eastAsia="MS Mincho"/>
          <w:i/>
          <w:iCs/>
          <w:lang w:val="en-US" w:eastAsia="ja-JP"/>
        </w:rPr>
        <w:t>the duration</w:t>
      </w:r>
      <w:r w:rsidRPr="00CA1F91">
        <w:rPr>
          <w:rFonts w:eastAsia="MS Mincho"/>
          <w:i/>
          <w:iCs/>
          <w:lang w:val="en-US" w:eastAsia="ja-JP"/>
        </w:rPr>
        <w:t xml:space="preserve"> of</w:t>
      </w:r>
      <w:r w:rsidRPr="0063180D">
        <w:rPr>
          <w:rFonts w:eastAsia="MS Mincho"/>
          <w:i/>
          <w:iCs/>
          <w:lang w:val="en-US" w:eastAsia="ja-JP"/>
        </w:rPr>
        <w:t xml:space="preserve"> </w:t>
      </w:r>
      <w:r w:rsidR="00DC0DC2" w:rsidRPr="0063180D">
        <w:rPr>
          <w:rFonts w:eastAsia="MS Mincho"/>
          <w:i/>
          <w:iCs/>
          <w:lang w:val="en-US" w:eastAsia="ja-JP"/>
        </w:rPr>
        <w:t xml:space="preserve">the </w:t>
      </w:r>
      <w:r w:rsidRPr="0063180D">
        <w:rPr>
          <w:rFonts w:eastAsia="MS Mincho"/>
          <w:i/>
          <w:iCs/>
          <w:lang w:val="en-US" w:eastAsia="ja-JP"/>
        </w:rPr>
        <w:t>short PUCCH using a single index configured by RRC</w:t>
      </w:r>
    </w:p>
    <w:p w14:paraId="387EF6A5" w14:textId="68F489B5" w:rsidR="00D063BF" w:rsidRPr="003019FF" w:rsidRDefault="00DC0DC2" w:rsidP="003019FF">
      <w:pPr>
        <w:spacing w:after="0"/>
        <w:jc w:val="both"/>
        <w:rPr>
          <w:lang w:val="en-US"/>
        </w:rPr>
      </w:pPr>
      <w:r>
        <w:rPr>
          <w:lang w:val="en-US"/>
        </w:rPr>
        <w:t>Based on the discussion related to time domain resource allocation in RAN1#90, t</w:t>
      </w:r>
      <w:r w:rsidR="00F620E7">
        <w:rPr>
          <w:lang w:val="en-US"/>
        </w:rPr>
        <w:t xml:space="preserve">here are two </w:t>
      </w:r>
      <w:r w:rsidR="00D063BF">
        <w:rPr>
          <w:lang w:val="en-US"/>
        </w:rPr>
        <w:t xml:space="preserve">main </w:t>
      </w:r>
      <w:r w:rsidR="00F620E7">
        <w:rPr>
          <w:lang w:val="en-US"/>
        </w:rPr>
        <w:t xml:space="preserve">principles to convey the </w:t>
      </w:r>
      <w:r w:rsidR="00D063BF">
        <w:rPr>
          <w:lang w:val="en-US"/>
        </w:rPr>
        <w:t>starting</w:t>
      </w:r>
      <w:r>
        <w:rPr>
          <w:lang w:val="en-US"/>
        </w:rPr>
        <w:t xml:space="preserve"> </w:t>
      </w:r>
      <w:r w:rsidR="00D063BF">
        <w:rPr>
          <w:lang w:val="en-US"/>
        </w:rPr>
        <w:t>pos</w:t>
      </w:r>
      <w:r w:rsidR="57EDC51E">
        <w:rPr>
          <w:lang w:val="en-US"/>
        </w:rPr>
        <w:t>i</w:t>
      </w:r>
      <w:r w:rsidR="00D063BF">
        <w:rPr>
          <w:lang w:val="en-US"/>
        </w:rPr>
        <w:t>tion of short PUCCH:</w:t>
      </w:r>
    </w:p>
    <w:p w14:paraId="7F05453C" w14:textId="74459F19" w:rsidR="00D063BF" w:rsidRPr="003019FF" w:rsidRDefault="00D063BF" w:rsidP="003019FF">
      <w:pPr>
        <w:pStyle w:val="ListParagraph"/>
        <w:numPr>
          <w:ilvl w:val="0"/>
          <w:numId w:val="41"/>
        </w:numPr>
        <w:jc w:val="both"/>
        <w:rPr>
          <w:lang w:val="en-US"/>
        </w:rPr>
      </w:pPr>
      <w:r w:rsidRPr="003019FF">
        <w:rPr>
          <w:sz w:val="20"/>
          <w:szCs w:val="20"/>
          <w:lang w:val="en-US"/>
        </w:rPr>
        <w:t>Opt.1: Starting</w:t>
      </w:r>
      <w:r w:rsidR="00DC0DC2">
        <w:rPr>
          <w:sz w:val="20"/>
          <w:szCs w:val="20"/>
          <w:lang w:val="en-US"/>
        </w:rPr>
        <w:t xml:space="preserve"> </w:t>
      </w:r>
      <w:r w:rsidRPr="003019FF">
        <w:rPr>
          <w:sz w:val="20"/>
          <w:szCs w:val="20"/>
          <w:lang w:val="en-US"/>
        </w:rPr>
        <w:t>symbol of a slot. UE is also informed of which slot it applies to</w:t>
      </w:r>
      <w:r w:rsidR="00697F1C">
        <w:rPr>
          <w:sz w:val="20"/>
          <w:szCs w:val="20"/>
          <w:lang w:val="en-US"/>
        </w:rPr>
        <w:t>.</w:t>
      </w:r>
    </w:p>
    <w:p w14:paraId="083E020A" w14:textId="53C098E9" w:rsidR="00D063BF" w:rsidRPr="003019FF" w:rsidRDefault="00D063BF" w:rsidP="00B67613">
      <w:pPr>
        <w:pStyle w:val="ListParagraph"/>
        <w:numPr>
          <w:ilvl w:val="0"/>
          <w:numId w:val="41"/>
        </w:numPr>
        <w:spacing w:after="120"/>
        <w:ind w:left="714" w:hanging="357"/>
        <w:jc w:val="both"/>
        <w:rPr>
          <w:lang w:val="en-US"/>
        </w:rPr>
      </w:pPr>
      <w:r w:rsidRPr="003019FF">
        <w:rPr>
          <w:sz w:val="20"/>
          <w:szCs w:val="20"/>
          <w:lang w:val="en-US"/>
        </w:rPr>
        <w:t xml:space="preserve">Opt.2: Symbol number from the </w:t>
      </w:r>
      <w:r w:rsidR="004571C3">
        <w:rPr>
          <w:sz w:val="20"/>
          <w:szCs w:val="20"/>
          <w:lang w:val="en-US"/>
        </w:rPr>
        <w:t>end</w:t>
      </w:r>
      <w:r w:rsidRPr="003019FF">
        <w:rPr>
          <w:sz w:val="20"/>
          <w:szCs w:val="20"/>
          <w:lang w:val="en-US"/>
        </w:rPr>
        <w:t xml:space="preserve"> of the </w:t>
      </w:r>
      <w:r w:rsidR="004571C3">
        <w:rPr>
          <w:sz w:val="20"/>
          <w:szCs w:val="20"/>
          <w:lang w:val="en-US"/>
        </w:rPr>
        <w:t>PDSCH</w:t>
      </w:r>
      <w:r w:rsidR="005E2C10">
        <w:rPr>
          <w:sz w:val="20"/>
          <w:szCs w:val="20"/>
          <w:lang w:val="en-US"/>
        </w:rPr>
        <w:t xml:space="preserve"> </w:t>
      </w:r>
      <w:r w:rsidR="004571C3">
        <w:rPr>
          <w:sz w:val="20"/>
          <w:szCs w:val="20"/>
          <w:lang w:val="en-US"/>
        </w:rPr>
        <w:t xml:space="preserve">or </w:t>
      </w:r>
      <w:r w:rsidR="000A446A">
        <w:rPr>
          <w:sz w:val="20"/>
          <w:szCs w:val="20"/>
          <w:lang w:val="en-US"/>
        </w:rPr>
        <w:t>from the end of the</w:t>
      </w:r>
      <w:r w:rsidR="004571C3">
        <w:rPr>
          <w:sz w:val="20"/>
          <w:szCs w:val="20"/>
          <w:lang w:val="en-US"/>
        </w:rPr>
        <w:t xml:space="preserve"> scheduling PDCCH</w:t>
      </w:r>
      <w:r w:rsidR="19B05044">
        <w:rPr>
          <w:sz w:val="20"/>
          <w:szCs w:val="20"/>
          <w:lang w:val="en-US"/>
        </w:rPr>
        <w:t>.</w:t>
      </w:r>
      <w:r w:rsidRPr="003019FF">
        <w:rPr>
          <w:sz w:val="20"/>
          <w:szCs w:val="20"/>
          <w:lang w:val="en-US"/>
        </w:rPr>
        <w:t xml:space="preserve"> </w:t>
      </w:r>
    </w:p>
    <w:p w14:paraId="7D7E1AD3" w14:textId="742B0425" w:rsidR="000A446A" w:rsidRPr="003019FF" w:rsidRDefault="00D063BF" w:rsidP="00B67613">
      <w:pPr>
        <w:spacing w:after="120"/>
        <w:jc w:val="both"/>
        <w:rPr>
          <w:lang w:val="en-US"/>
        </w:rPr>
      </w:pPr>
      <w:r>
        <w:rPr>
          <w:lang w:val="en-US"/>
        </w:rPr>
        <w:t xml:space="preserve">When comparing these options, it seems that Opt.2 </w:t>
      </w:r>
      <w:r w:rsidR="00C55A6A">
        <w:rPr>
          <w:lang w:val="en-US"/>
        </w:rPr>
        <w:t xml:space="preserve">could be </w:t>
      </w:r>
      <w:r w:rsidR="005E2C10">
        <w:rPr>
          <w:lang w:val="en-US"/>
        </w:rPr>
        <w:t xml:space="preserve">a </w:t>
      </w:r>
      <w:r w:rsidR="00C55A6A">
        <w:rPr>
          <w:lang w:val="en-US"/>
        </w:rPr>
        <w:t>feasible approach</w:t>
      </w:r>
      <w:r w:rsidR="004571C3">
        <w:rPr>
          <w:lang w:val="en-US"/>
        </w:rPr>
        <w:t xml:space="preserve"> </w:t>
      </w:r>
      <w:r w:rsidR="005E2C10">
        <w:rPr>
          <w:lang w:val="en-US"/>
        </w:rPr>
        <w:t>for a</w:t>
      </w:r>
      <w:r w:rsidR="004571C3">
        <w:rPr>
          <w:lang w:val="en-US"/>
        </w:rPr>
        <w:t xml:space="preserve"> FDD scenario</w:t>
      </w:r>
      <w:r w:rsidR="00DC0DC2">
        <w:rPr>
          <w:lang w:val="en-US"/>
        </w:rPr>
        <w:t xml:space="preserve"> where time</w:t>
      </w:r>
      <w:r w:rsidR="005E2C10">
        <w:rPr>
          <w:lang w:val="en-US"/>
        </w:rPr>
        <w:t xml:space="preserve"> domain</w:t>
      </w:r>
      <w:r w:rsidR="00DC0DC2">
        <w:rPr>
          <w:lang w:val="en-US"/>
        </w:rPr>
        <w:t xml:space="preserve"> </w:t>
      </w:r>
      <w:r w:rsidR="000A446A">
        <w:rPr>
          <w:lang w:val="en-US"/>
        </w:rPr>
        <w:t>resources are always available</w:t>
      </w:r>
      <w:r w:rsidR="004571C3">
        <w:rPr>
          <w:lang w:val="en-US"/>
        </w:rPr>
        <w:t xml:space="preserve">. </w:t>
      </w:r>
      <w:r w:rsidR="000A446A">
        <w:rPr>
          <w:lang w:val="en-US"/>
        </w:rPr>
        <w:t>On the other hand, the need for dynamic timing indication in</w:t>
      </w:r>
      <w:r w:rsidR="005E2C10">
        <w:rPr>
          <w:lang w:val="en-US"/>
        </w:rPr>
        <w:t xml:space="preserve"> the</w:t>
      </w:r>
      <w:r w:rsidR="000A446A">
        <w:rPr>
          <w:lang w:val="en-US"/>
        </w:rPr>
        <w:t xml:space="preserve"> FDD </w:t>
      </w:r>
      <w:r w:rsidR="00DC0DC2">
        <w:rPr>
          <w:lang w:val="en-US"/>
        </w:rPr>
        <w:t xml:space="preserve">scenario </w:t>
      </w:r>
      <w:r w:rsidR="000A446A">
        <w:rPr>
          <w:lang w:val="en-US"/>
        </w:rPr>
        <w:t xml:space="preserve">is not that clear. </w:t>
      </w:r>
    </w:p>
    <w:p w14:paraId="163B2629" w14:textId="2265068D" w:rsidR="00D063BF" w:rsidRPr="003019FF" w:rsidRDefault="00DC0DC2" w:rsidP="00B67613">
      <w:pPr>
        <w:jc w:val="both"/>
        <w:rPr>
          <w:lang w:val="en-US"/>
        </w:rPr>
      </w:pPr>
      <w:r>
        <w:rPr>
          <w:lang w:val="en-US"/>
        </w:rPr>
        <w:t>I</w:t>
      </w:r>
      <w:r w:rsidR="004571C3">
        <w:rPr>
          <w:lang w:val="en-US"/>
        </w:rPr>
        <w:t xml:space="preserve">n the case of </w:t>
      </w:r>
      <w:r>
        <w:rPr>
          <w:lang w:val="en-US"/>
        </w:rPr>
        <w:t xml:space="preserve">(dynamic) </w:t>
      </w:r>
      <w:r w:rsidR="00C55A6A">
        <w:rPr>
          <w:lang w:val="en-US"/>
        </w:rPr>
        <w:t>TDD</w:t>
      </w:r>
      <w:r w:rsidR="004571C3">
        <w:rPr>
          <w:lang w:val="en-US"/>
        </w:rPr>
        <w:t>, Opt.</w:t>
      </w:r>
      <w:r w:rsidR="000A446A">
        <w:rPr>
          <w:lang w:val="en-US"/>
        </w:rPr>
        <w:t>2</w:t>
      </w:r>
      <w:r>
        <w:rPr>
          <w:lang w:val="en-US"/>
        </w:rPr>
        <w:t xml:space="preserve"> would contain</w:t>
      </w:r>
      <w:r w:rsidR="004571C3">
        <w:rPr>
          <w:lang w:val="en-US"/>
        </w:rPr>
        <w:t xml:space="preserve"> signalling states </w:t>
      </w:r>
      <w:r w:rsidR="00C55A6A">
        <w:rPr>
          <w:lang w:val="en-US"/>
        </w:rPr>
        <w:t xml:space="preserve">which are not available due to half-duplex </w:t>
      </w:r>
      <w:r w:rsidR="2CC6DBAE">
        <w:rPr>
          <w:lang w:val="en-US"/>
        </w:rPr>
        <w:t>limitation</w:t>
      </w:r>
      <w:r w:rsidR="00277DD0">
        <w:rPr>
          <w:lang w:val="en-US"/>
        </w:rPr>
        <w:t xml:space="preserve"> (e.g. when</w:t>
      </w:r>
      <w:r w:rsidR="000A446A">
        <w:rPr>
          <w:lang w:val="en-US"/>
        </w:rPr>
        <w:t xml:space="preserve"> PDSCH mini-slot is located at the beginning of the slot)</w:t>
      </w:r>
      <w:r w:rsidR="00C55A6A">
        <w:rPr>
          <w:lang w:val="en-US"/>
        </w:rPr>
        <w:t>.</w:t>
      </w:r>
      <w:r w:rsidR="6E1DDA7D">
        <w:rPr>
          <w:lang w:val="en-US"/>
        </w:rPr>
        <w:t xml:space="preserve"> </w:t>
      </w:r>
      <w:r w:rsidR="2016B7E9">
        <w:rPr>
          <w:lang w:val="en-US"/>
        </w:rPr>
        <w:t xml:space="preserve">Hence, </w:t>
      </w:r>
      <w:r w:rsidR="67BC8065" w:rsidRPr="003019FF">
        <w:rPr>
          <w:lang w:val="en-US"/>
        </w:rPr>
        <w:t>with given timing flexibility</w:t>
      </w:r>
      <w:r w:rsidR="67BC8065">
        <w:rPr>
          <w:lang w:val="en-US"/>
        </w:rPr>
        <w:t xml:space="preserve"> </w:t>
      </w:r>
      <w:r w:rsidR="01F42E80">
        <w:rPr>
          <w:lang w:val="en-US"/>
        </w:rPr>
        <w:t>Opt.2</w:t>
      </w:r>
      <w:r w:rsidR="2016B7E9">
        <w:rPr>
          <w:lang w:val="en-US"/>
        </w:rPr>
        <w:t xml:space="preserve"> </w:t>
      </w:r>
      <w:r w:rsidR="1F244F5A">
        <w:rPr>
          <w:lang w:val="en-US"/>
        </w:rPr>
        <w:t>results</w:t>
      </w:r>
      <w:r w:rsidR="5766216C">
        <w:rPr>
          <w:lang w:val="en-US"/>
        </w:rPr>
        <w:t xml:space="preserve"> </w:t>
      </w:r>
      <w:r w:rsidR="2016B7E9">
        <w:rPr>
          <w:lang w:val="en-US"/>
        </w:rPr>
        <w:t xml:space="preserve">in </w:t>
      </w:r>
      <w:r w:rsidR="65DCC1A9">
        <w:rPr>
          <w:lang w:val="en-US"/>
        </w:rPr>
        <w:t>higher</w:t>
      </w:r>
      <w:r w:rsidR="2016B7E9">
        <w:rPr>
          <w:lang w:val="en-US"/>
        </w:rPr>
        <w:t xml:space="preserve"> DCI overhead</w:t>
      </w:r>
      <w:r w:rsidR="5766216C">
        <w:rPr>
          <w:lang w:val="en-US"/>
        </w:rPr>
        <w:t xml:space="preserve"> </w:t>
      </w:r>
      <w:r w:rsidR="29A15E71">
        <w:rPr>
          <w:lang w:val="en-US"/>
        </w:rPr>
        <w:t>compared to Opt.1</w:t>
      </w:r>
      <w:r w:rsidR="5766216C">
        <w:rPr>
          <w:lang w:val="en-US"/>
        </w:rPr>
        <w:t xml:space="preserve">. </w:t>
      </w:r>
      <w:r w:rsidR="2016B7E9" w:rsidRPr="003019FF">
        <w:rPr>
          <w:lang w:val="en-US"/>
        </w:rPr>
        <w:t>Opt. 1 is</w:t>
      </w:r>
      <w:r w:rsidR="5A2B6F38">
        <w:rPr>
          <w:lang w:val="en-US"/>
        </w:rPr>
        <w:t xml:space="preserve"> a better approach </w:t>
      </w:r>
      <w:r w:rsidR="1F244F5A">
        <w:rPr>
          <w:lang w:val="en-US"/>
        </w:rPr>
        <w:t xml:space="preserve">also </w:t>
      </w:r>
      <w:r w:rsidR="5A2B6F38">
        <w:rPr>
          <w:lang w:val="en-US"/>
        </w:rPr>
        <w:t>in t</w:t>
      </w:r>
      <w:r w:rsidR="75D23ABA">
        <w:rPr>
          <w:lang w:val="en-US"/>
        </w:rPr>
        <w:t xml:space="preserve">he sense that </w:t>
      </w:r>
      <w:r w:rsidR="16DACBB7">
        <w:rPr>
          <w:lang w:val="en-US"/>
        </w:rPr>
        <w:t>DCI</w:t>
      </w:r>
      <w:r w:rsidR="75D23ABA">
        <w:rPr>
          <w:lang w:val="en-US"/>
        </w:rPr>
        <w:t xml:space="preserve"> content does not vary based on the PDCCH location.</w:t>
      </w:r>
      <w:r w:rsidR="004571C3">
        <w:rPr>
          <w:lang w:val="en-US"/>
        </w:rPr>
        <w:t xml:space="preserve"> </w:t>
      </w:r>
      <w:r w:rsidR="5A2B6F38">
        <w:rPr>
          <w:lang w:val="en-US"/>
        </w:rPr>
        <w:t>Therefore Opt. 1</w:t>
      </w:r>
      <w:r w:rsidR="000A446A">
        <w:rPr>
          <w:lang w:val="en-US"/>
        </w:rPr>
        <w:t xml:space="preserve"> shown in Figure 4 </w:t>
      </w:r>
      <w:r w:rsidR="191561CE">
        <w:rPr>
          <w:lang w:val="en-US"/>
        </w:rPr>
        <w:t>is</w:t>
      </w:r>
      <w:r w:rsidR="000A446A">
        <w:rPr>
          <w:lang w:val="en-US"/>
        </w:rPr>
        <w:t xml:space="preserve"> </w:t>
      </w:r>
      <w:r w:rsidR="191561CE">
        <w:rPr>
          <w:lang w:val="en-US"/>
        </w:rPr>
        <w:t>the</w:t>
      </w:r>
      <w:r w:rsidR="000A446A">
        <w:rPr>
          <w:lang w:val="en-US"/>
        </w:rPr>
        <w:t xml:space="preserve"> </w:t>
      </w:r>
      <w:r w:rsidR="55F5939F">
        <w:rPr>
          <w:lang w:val="en-US"/>
        </w:rPr>
        <w:t>preferred</w:t>
      </w:r>
      <w:r w:rsidR="000A446A">
        <w:rPr>
          <w:lang w:val="en-US"/>
        </w:rPr>
        <w:t xml:space="preserve"> approach for </w:t>
      </w:r>
      <w:r w:rsidR="572C63F8">
        <w:rPr>
          <w:lang w:val="en-US"/>
        </w:rPr>
        <w:t>dynamic PUCCH timin</w:t>
      </w:r>
      <w:r w:rsidR="55F5939F">
        <w:rPr>
          <w:lang w:val="en-US"/>
        </w:rPr>
        <w:t xml:space="preserve">g indication in </w:t>
      </w:r>
      <w:r w:rsidR="572C63F8">
        <w:rPr>
          <w:lang w:val="en-US"/>
        </w:rPr>
        <w:t>NR</w:t>
      </w:r>
      <w:r w:rsidR="000A446A">
        <w:rPr>
          <w:lang w:val="en-US"/>
        </w:rPr>
        <w:t>.</w:t>
      </w:r>
    </w:p>
    <w:p w14:paraId="18E4B5B5" w14:textId="77FF1CFF" w:rsidR="000A446A" w:rsidRPr="003019FF" w:rsidRDefault="000A446A" w:rsidP="003019FF">
      <w:pPr>
        <w:spacing w:after="120"/>
        <w:jc w:val="both"/>
        <w:rPr>
          <w:b/>
          <w:bCs/>
        </w:rPr>
      </w:pPr>
      <w:r w:rsidRPr="00830CA4">
        <w:rPr>
          <w:b/>
          <w:bCs/>
          <w:i/>
        </w:rPr>
        <w:t>Proposal #</w:t>
      </w:r>
      <w:r w:rsidR="00153402" w:rsidRPr="00830CA4">
        <w:rPr>
          <w:b/>
          <w:bCs/>
          <w:i/>
        </w:rPr>
        <w:t>5</w:t>
      </w:r>
      <w:r w:rsidRPr="00830CA4">
        <w:rPr>
          <w:b/>
          <w:bCs/>
          <w:i/>
        </w:rPr>
        <w:t>:</w:t>
      </w:r>
      <w:r w:rsidRPr="003252A4">
        <w:rPr>
          <w:b/>
          <w:bCs/>
        </w:rPr>
        <w:t xml:space="preserve"> </w:t>
      </w:r>
      <w:r w:rsidR="00277DD0" w:rsidRPr="003252A4">
        <w:rPr>
          <w:i/>
          <w:iCs/>
        </w:rPr>
        <w:t xml:space="preserve">Dynamic </w:t>
      </w:r>
      <w:r w:rsidRPr="003252A4">
        <w:rPr>
          <w:i/>
          <w:iCs/>
        </w:rPr>
        <w:t xml:space="preserve">indication </w:t>
      </w:r>
      <w:r w:rsidR="0DF50296" w:rsidRPr="57EDC51E">
        <w:rPr>
          <w:i/>
          <w:iCs/>
        </w:rPr>
        <w:t xml:space="preserve">of the </w:t>
      </w:r>
      <w:r w:rsidR="57EDC51E" w:rsidRPr="57EDC51E">
        <w:rPr>
          <w:i/>
          <w:iCs/>
        </w:rPr>
        <w:t xml:space="preserve">PUCCH </w:t>
      </w:r>
      <w:r w:rsidR="0DF50296" w:rsidRPr="57EDC51E">
        <w:rPr>
          <w:i/>
          <w:iCs/>
        </w:rPr>
        <w:t xml:space="preserve">starting position </w:t>
      </w:r>
      <w:r w:rsidRPr="003252A4">
        <w:rPr>
          <w:i/>
          <w:iCs/>
        </w:rPr>
        <w:t xml:space="preserve">for </w:t>
      </w:r>
      <w:r w:rsidR="00277DD0" w:rsidRPr="00CA1F91">
        <w:rPr>
          <w:i/>
          <w:iCs/>
        </w:rPr>
        <w:t xml:space="preserve">PDSCH </w:t>
      </w:r>
      <w:r w:rsidRPr="00CA1F91">
        <w:rPr>
          <w:i/>
          <w:iCs/>
        </w:rPr>
        <w:t>mini-slot</w:t>
      </w:r>
      <w:r w:rsidRPr="0063180D">
        <w:rPr>
          <w:i/>
          <w:iCs/>
        </w:rPr>
        <w:t xml:space="preserve"> is based on Opt. 1 (slot</w:t>
      </w:r>
      <w:r w:rsidR="00277DD0" w:rsidRPr="0063180D">
        <w:rPr>
          <w:i/>
          <w:iCs/>
        </w:rPr>
        <w:t xml:space="preserve"> index,</w:t>
      </w:r>
      <w:r w:rsidRPr="0063180D">
        <w:rPr>
          <w:i/>
          <w:iCs/>
        </w:rPr>
        <w:t xml:space="preserve"> and </w:t>
      </w:r>
      <w:r w:rsidR="00277DD0" w:rsidRPr="0063180D">
        <w:rPr>
          <w:i/>
          <w:iCs/>
        </w:rPr>
        <w:t xml:space="preserve">the </w:t>
      </w:r>
      <w:r w:rsidRPr="0063180D">
        <w:rPr>
          <w:i/>
          <w:iCs/>
        </w:rPr>
        <w:t xml:space="preserve">starting symbol of the slot).  </w:t>
      </w:r>
    </w:p>
    <w:p w14:paraId="7A2CB963" w14:textId="4B2BD8B0" w:rsidR="00D063BF" w:rsidRDefault="00277DD0" w:rsidP="003019FF">
      <w:pPr>
        <w:jc w:val="center"/>
        <w:rPr>
          <w:lang w:val="en-US"/>
        </w:rPr>
      </w:pPr>
      <w:r w:rsidRPr="00277DD0">
        <w:rPr>
          <w:noProof/>
        </w:rPr>
        <w:drawing>
          <wp:inline distT="0" distB="0" distL="0" distR="0" wp14:anchorId="085E4EDB" wp14:editId="381E863E">
            <wp:extent cx="4000965" cy="1846369"/>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10799" cy="1850907"/>
                    </a:xfrm>
                    <a:prstGeom prst="rect">
                      <a:avLst/>
                    </a:prstGeom>
                    <a:noFill/>
                    <a:ln>
                      <a:noFill/>
                    </a:ln>
                  </pic:spPr>
                </pic:pic>
              </a:graphicData>
            </a:graphic>
          </wp:inline>
        </w:drawing>
      </w:r>
    </w:p>
    <w:p w14:paraId="683F564A" w14:textId="7E28C7E7" w:rsidR="1D736DD5" w:rsidRPr="003252A4" w:rsidRDefault="000A446A" w:rsidP="003019FF">
      <w:pPr>
        <w:pStyle w:val="Caption"/>
        <w:spacing w:after="240"/>
        <w:jc w:val="center"/>
      </w:pPr>
      <w:r>
        <w:t xml:space="preserve">Figure </w:t>
      </w:r>
      <w:r w:rsidRPr="003019FF">
        <w:fldChar w:fldCharType="begin"/>
      </w:r>
      <w:r>
        <w:instrText xml:space="preserve"> SEQ Figure \* ARABIC </w:instrText>
      </w:r>
      <w:r w:rsidRPr="003019FF">
        <w:fldChar w:fldCharType="separate"/>
      </w:r>
      <w:r w:rsidR="00FB2505">
        <w:rPr>
          <w:noProof/>
        </w:rPr>
        <w:t>3</w:t>
      </w:r>
      <w:r w:rsidRPr="003019FF">
        <w:fldChar w:fldCharType="end"/>
      </w:r>
      <w:r w:rsidRPr="005256F3">
        <w:rPr>
          <w:lang w:val="en-US"/>
        </w:rPr>
        <w:t xml:space="preserve">. </w:t>
      </w:r>
      <w:r>
        <w:rPr>
          <w:lang w:val="en-US"/>
        </w:rPr>
        <w:t xml:space="preserve">Principle of Opt. </w:t>
      </w:r>
      <w:r w:rsidR="01F42E80">
        <w:rPr>
          <w:lang w:val="en-US"/>
        </w:rPr>
        <w:t>1</w:t>
      </w:r>
      <w:r>
        <w:rPr>
          <w:lang w:val="en-US"/>
        </w:rPr>
        <w:t xml:space="preserve"> in a flexible TDD scenario</w:t>
      </w:r>
      <w:r w:rsidR="00F52043">
        <w:rPr>
          <w:lang w:val="en-US"/>
        </w:rPr>
        <w:t>.</w:t>
      </w:r>
    </w:p>
    <w:p w14:paraId="3799EF30" w14:textId="7AEB1AD8" w:rsidR="004E4075" w:rsidRPr="00F3636B" w:rsidRDefault="5C120A52" w:rsidP="003019FF">
      <w:pPr>
        <w:pStyle w:val="Heading1"/>
        <w:rPr>
          <w:lang w:val="en-US"/>
        </w:rPr>
      </w:pPr>
      <w:r w:rsidRPr="5C120A52">
        <w:t>3</w:t>
      </w:r>
      <w:r w:rsidR="36775D76" w:rsidRPr="003252A4">
        <w:t xml:space="preserve">  HARQ feedback </w:t>
      </w:r>
      <w:r w:rsidRPr="003252A4">
        <w:t>determination</w:t>
      </w:r>
    </w:p>
    <w:p w14:paraId="7E78B53A" w14:textId="4B944128" w:rsidR="004E4075" w:rsidRDefault="5C120A52" w:rsidP="003019FF">
      <w:pPr>
        <w:spacing w:after="120" w:line="256" w:lineRule="auto"/>
        <w:jc w:val="both"/>
        <w:rPr>
          <w:rFonts w:eastAsia="Malgun Gothic"/>
        </w:rPr>
      </w:pPr>
      <w:r w:rsidRPr="003019FF">
        <w:rPr>
          <w:rFonts w:eastAsia="Malgun Gothic"/>
        </w:rPr>
        <w:t>In this section, we discuss the HARQ feedback determination in NR</w:t>
      </w:r>
      <w:r w:rsidR="00CA1F91">
        <w:rPr>
          <w:rFonts w:eastAsia="Malgun Gothic"/>
        </w:rPr>
        <w:t xml:space="preserve"> from single cell viewpoint</w:t>
      </w:r>
      <w:r w:rsidRPr="003019FF">
        <w:rPr>
          <w:rFonts w:eastAsia="Malgun Gothic"/>
        </w:rPr>
        <w:t>.</w:t>
      </w:r>
      <w:r w:rsidR="00CA1F91">
        <w:rPr>
          <w:rFonts w:eastAsia="Malgun Gothic"/>
        </w:rPr>
        <w:t xml:space="preserve"> We consider HARQ feedback determination in case of carrier aggregation and CBG-based PDSCH transmissions in companion </w:t>
      </w:r>
      <w:r w:rsidR="00CA1F91" w:rsidRPr="0087104B">
        <w:rPr>
          <w:rFonts w:eastAsia="Malgun Gothic"/>
        </w:rPr>
        <w:t>contributions [</w:t>
      </w:r>
      <w:r w:rsidR="0087104B">
        <w:rPr>
          <w:rFonts w:eastAsia="Malgun Gothic"/>
        </w:rPr>
        <w:t>3] and [4</w:t>
      </w:r>
      <w:r w:rsidR="00CA1F91" w:rsidRPr="0087104B">
        <w:rPr>
          <w:rFonts w:eastAsia="Malgun Gothic"/>
        </w:rPr>
        <w:t>].</w:t>
      </w:r>
      <w:r w:rsidRPr="003019FF">
        <w:rPr>
          <w:rFonts w:eastAsia="Malgun Gothic"/>
        </w:rPr>
        <w:t xml:space="preserve"> </w:t>
      </w:r>
    </w:p>
    <w:p w14:paraId="46BAFF10" w14:textId="32A15CBC" w:rsidR="004E4075" w:rsidRPr="003019FF" w:rsidRDefault="004E4075" w:rsidP="003019FF">
      <w:pPr>
        <w:pStyle w:val="Heading2"/>
      </w:pPr>
      <w:r>
        <w:t xml:space="preserve">3.1 </w:t>
      </w:r>
      <w:r w:rsidR="00735F5D">
        <w:t xml:space="preserve">Determination of </w:t>
      </w:r>
      <w:r>
        <w:t>DL associatio</w:t>
      </w:r>
      <w:r w:rsidR="00735F5D">
        <w:t xml:space="preserve">n set and codebook size </w:t>
      </w:r>
    </w:p>
    <w:p w14:paraId="6D2F4A45" w14:textId="7396D94B" w:rsidR="00CC6A4F" w:rsidRPr="003019FF" w:rsidRDefault="00CC6A4F" w:rsidP="003019FF">
      <w:pPr>
        <w:spacing w:after="120" w:line="256" w:lineRule="auto"/>
        <w:jc w:val="both"/>
        <w:rPr>
          <w:rFonts w:eastAsiaTheme="minorEastAsia"/>
          <w:sz w:val="22"/>
          <w:szCs w:val="22"/>
          <w:lang w:val="en-US"/>
        </w:rPr>
      </w:pPr>
      <w:r w:rsidRPr="003252A4">
        <w:rPr>
          <w:lang w:val="en-US"/>
        </w:rPr>
        <w:t xml:space="preserve">Flexible HARQ-ACK timing facilities e.g. highly flexible UL/DL configuration but impacts also the </w:t>
      </w:r>
      <w:r w:rsidRPr="003252A4">
        <w:t xml:space="preserve">determination of HARQ feedback transmitted on UL. </w:t>
      </w:r>
      <w:r w:rsidRPr="00CA1F91">
        <w:t>HARQ feedback determination will be impacted also by</w:t>
      </w:r>
      <w:r w:rsidR="004050AE">
        <w:t xml:space="preserve"> dynamic</w:t>
      </w:r>
      <w:r w:rsidR="0087104B">
        <w:t>, symbol level timing of HARQ-ACK for</w:t>
      </w:r>
      <w:r w:rsidR="004050AE">
        <w:t xml:space="preserve"> PDSCH mini-slot</w:t>
      </w:r>
      <w:r w:rsidR="0087104B">
        <w:t>s</w:t>
      </w:r>
      <w:r w:rsidR="004050AE">
        <w:t xml:space="preserve"> level</w:t>
      </w:r>
      <w:r w:rsidR="0087104B">
        <w:t xml:space="preserve">. We start discussion by considering DL association set </w:t>
      </w:r>
      <w:r w:rsidR="00C94A3C">
        <w:t xml:space="preserve">determination </w:t>
      </w:r>
      <w:r w:rsidR="0087104B">
        <w:t>for HARQ feedback.</w:t>
      </w:r>
    </w:p>
    <w:p w14:paraId="131B0F68" w14:textId="312186FB" w:rsidR="004142CD" w:rsidRDefault="004142CD" w:rsidP="004142CD">
      <w:pPr>
        <w:pStyle w:val="BodyText"/>
        <w:jc w:val="both"/>
        <w:rPr>
          <w:rFonts w:eastAsia="MS Mincho"/>
          <w:lang w:val="en-US" w:eastAsia="ja-JP"/>
        </w:rPr>
      </w:pPr>
      <w:r>
        <w:rPr>
          <w:lang w:val="en-US"/>
        </w:rPr>
        <w:lastRenderedPageBreak/>
        <w:t>In LTE,</w:t>
      </w:r>
      <w:r>
        <w:rPr>
          <w:rFonts w:eastAsia="MS Mincho"/>
          <w:lang w:val="en-US" w:eastAsia="ja-JP"/>
        </w:rPr>
        <w:t xml:space="preserve"> the timing relationship between DL data reception and corresponding acknowledgement is predetermined in the specification. In LTE TDD, the HARQ-ACK timing as well as the DL subframes for which HARQ-ACK is reported in a certain UL subframe (aka DL association set) is determined based on the subframe number and used UL/DL configuration. That kind of approach turns out cumbersome when more flexible UL/DL configurations are supported and tabulation of all possible combinations becomes increasingly complex. This can be seen e.g. with LTE LAA, where HARQ feedback for LAA SCell is essentially determined as if LAA SCell were FDD SCell – just for the sake of simplicity. </w:t>
      </w:r>
    </w:p>
    <w:p w14:paraId="102AB212" w14:textId="77777777" w:rsidR="004142CD" w:rsidRDefault="004142CD" w:rsidP="00B67613">
      <w:pPr>
        <w:pStyle w:val="BodyText"/>
        <w:jc w:val="both"/>
        <w:rPr>
          <w:rFonts w:eastAsia="MS Mincho"/>
          <w:lang w:val="en-US" w:eastAsia="ja-JP"/>
        </w:rPr>
      </w:pPr>
      <w:r>
        <w:rPr>
          <w:rFonts w:eastAsia="MS Mincho"/>
          <w:lang w:val="en-US" w:eastAsia="ja-JP"/>
        </w:rPr>
        <w:t xml:space="preserve">In NR, highly flexible UL/DL configuration efficiently adapting air interface to the variations on traffic is desired. Correspondingly, determination of HARQ feedback, including determination of HARQ-ACK codebook size as well as DL association set (i.e. set of DL slot for which HARQ-ACK is reported in a certain UL slot) should be flexible and not limited to a manageable subset of predetermined UL/DL configurations. </w:t>
      </w:r>
    </w:p>
    <w:p w14:paraId="50FE133C" w14:textId="77777777" w:rsidR="004142CD" w:rsidRDefault="004142CD" w:rsidP="00B67613">
      <w:pPr>
        <w:pStyle w:val="BodyText"/>
        <w:jc w:val="both"/>
        <w:rPr>
          <w:rFonts w:eastAsia="MS Mincho"/>
          <w:lang w:val="en-US" w:eastAsia="ja-JP"/>
        </w:rPr>
      </w:pPr>
      <w:r>
        <w:rPr>
          <w:rFonts w:eastAsia="MS Mincho"/>
          <w:lang w:val="en-US" w:eastAsia="ja-JP"/>
        </w:rPr>
        <w:t>One possible way is to determine HARQ-ACK codebook based on the number of configured HARQ processes and the number of configured or activated component carriers. This means that HARQ-ACK is transmitted for each TB (or CBG if CBG-based transmission is configured) on every HARQ process on every configured or activated component carrier every time UE reports any HARQ-ACK. As a UE may be configured with a considerable number of CBGs as well as component carriers, the resulting HARQ-ACK codebook can be large and significantly over-dimensioned for most of HARQ feedback transmissions.</w:t>
      </w:r>
    </w:p>
    <w:p w14:paraId="3E34D590" w14:textId="77777777" w:rsidR="004142CD" w:rsidRPr="003019FF" w:rsidRDefault="004142CD" w:rsidP="00B67613">
      <w:pPr>
        <w:jc w:val="both"/>
        <w:rPr>
          <w:rFonts w:eastAsiaTheme="minorEastAsia"/>
          <w:lang w:val="en-US"/>
        </w:rPr>
      </w:pPr>
      <w:r>
        <w:rPr>
          <w:rFonts w:eastAsia="MS Mincho"/>
          <w:lang w:val="en-US" w:eastAsia="ja-JP"/>
        </w:rPr>
        <w:t>On other hand, the determination of HARQ feedback can be based on a simple set of rules using few parameters such as the indicated timing between DL data and associated HARQ-ACK as well as the minimum processing time between the DL data reception and transmission of associated HARQ-ACK as inputs to the determination.</w:t>
      </w:r>
    </w:p>
    <w:p w14:paraId="0BF1DD51" w14:textId="11B6C214" w:rsidR="004142CD" w:rsidRPr="003019FF" w:rsidRDefault="004142CD" w:rsidP="00692297">
      <w:pPr>
        <w:jc w:val="both"/>
        <w:rPr>
          <w:bCs/>
          <w:i/>
          <w:iCs/>
        </w:rPr>
      </w:pPr>
      <w:r w:rsidRPr="003252A4">
        <w:rPr>
          <w:b/>
          <w:bCs/>
          <w:i/>
          <w:iCs/>
        </w:rPr>
        <w:t>Proposal #</w:t>
      </w:r>
      <w:r w:rsidR="0098483A">
        <w:rPr>
          <w:b/>
          <w:bCs/>
          <w:i/>
          <w:iCs/>
        </w:rPr>
        <w:t>6</w:t>
      </w:r>
      <w:r w:rsidRPr="003252A4">
        <w:rPr>
          <w:b/>
          <w:bCs/>
          <w:i/>
          <w:iCs/>
        </w:rPr>
        <w:t xml:space="preserve">: </w:t>
      </w:r>
      <w:r w:rsidRPr="003019FF">
        <w:rPr>
          <w:bCs/>
          <w:i/>
          <w:iCs/>
        </w:rPr>
        <w:t xml:space="preserve">Determination of DL association set for HARQ feedback is flexible and based on the indicated </w:t>
      </w:r>
      <w:r w:rsidRPr="003019FF">
        <w:rPr>
          <w:rFonts w:eastAsia="MS Mincho"/>
          <w:bCs/>
          <w:i/>
          <w:iCs/>
          <w:lang w:val="en-US" w:eastAsia="ja-JP"/>
        </w:rPr>
        <w:t>timing relationship between DL data reception and corresponding acknowledgement</w:t>
      </w:r>
      <w:r w:rsidRPr="003019FF">
        <w:rPr>
          <w:bCs/>
          <w:i/>
          <w:iCs/>
        </w:rPr>
        <w:t>.</w:t>
      </w:r>
    </w:p>
    <w:p w14:paraId="58C42465" w14:textId="6038AE1D" w:rsidR="004142CD" w:rsidRDefault="00C94A3C" w:rsidP="004142CD">
      <w:pPr>
        <w:spacing w:after="120"/>
        <w:jc w:val="both"/>
      </w:pPr>
      <w:bookmarkStart w:id="3" w:name="_Hlk492650189"/>
      <w:r>
        <w:rPr>
          <w:rFonts w:eastAsia="MS Mincho"/>
          <w:lang w:eastAsia="ja-JP"/>
        </w:rPr>
        <w:t>DL association set</w:t>
      </w:r>
      <w:r w:rsidR="004142CD">
        <w:rPr>
          <w:rFonts w:eastAsia="MS Mincho"/>
          <w:lang w:eastAsia="ja-JP"/>
        </w:rPr>
        <w:t xml:space="preserve"> </w:t>
      </w:r>
      <w:r w:rsidR="00804373">
        <w:rPr>
          <w:rFonts w:eastAsia="MS Mincho"/>
          <w:lang w:eastAsia="ja-JP"/>
        </w:rPr>
        <w:t>is</w:t>
      </w:r>
      <w:r w:rsidR="004142CD">
        <w:rPr>
          <w:rFonts w:eastAsia="MS Mincho"/>
          <w:lang w:eastAsia="ja-JP"/>
        </w:rPr>
        <w:t xml:space="preserve"> semi-static in the cases where the timing relationship between DL data and corresponding HARQ-ACK is determined semi-statically. FDD deployment is a simple example of a such case. </w:t>
      </w:r>
      <w:r w:rsidR="004142CD">
        <w:rPr>
          <w:rFonts w:eastAsia="MS Mincho"/>
          <w:lang w:val="en-US" w:eastAsia="ja-JP"/>
        </w:rPr>
        <w:t>In the cas</w:t>
      </w:r>
      <w:r w:rsidR="00935768">
        <w:rPr>
          <w:rFonts w:eastAsia="MS Mincho"/>
          <w:lang w:val="en-US" w:eastAsia="ja-JP"/>
        </w:rPr>
        <w:t>es where</w:t>
      </w:r>
      <w:r w:rsidR="004142CD">
        <w:rPr>
          <w:rFonts w:eastAsia="MS Mincho"/>
          <w:lang w:val="en-US" w:eastAsia="ja-JP"/>
        </w:rPr>
        <w:t xml:space="preserve"> the timing between DL data and associated HARQ-ACK is indicated dynamically by L1 signaling, </w:t>
      </w:r>
      <w:r w:rsidR="004142CD">
        <w:t xml:space="preserve">DL association set </w:t>
      </w:r>
      <w:r w:rsidR="004142CD">
        <w:rPr>
          <w:rFonts w:eastAsia="MS Mincho"/>
          <w:lang w:val="en-US" w:eastAsia="ja-JP"/>
        </w:rPr>
        <w:t xml:space="preserve">also </w:t>
      </w:r>
      <w:r w:rsidR="004142CD">
        <w:t>needs to be determined dynamically</w:t>
      </w:r>
      <w:r w:rsidR="00363B5F">
        <w:t xml:space="preserve">, especially in the case of dynamic codebook size determination. In the case of dynamic HARQ ACK timing indication and semi-static codebook size, the DL association set may be determined either dynamically or semi-statically, e.g. </w:t>
      </w:r>
      <w:r w:rsidR="00363B5F">
        <w:rPr>
          <w:rFonts w:eastAsia="MS Mincho"/>
          <w:lang w:eastAsia="ja-JP"/>
        </w:rPr>
        <w:t>based on the configured maximum and minimum HARQ ACK timing values.</w:t>
      </w:r>
    </w:p>
    <w:bookmarkEnd w:id="3"/>
    <w:p w14:paraId="77B52AD4" w14:textId="04AAAA76" w:rsidR="004142CD" w:rsidRDefault="004142CD" w:rsidP="004142CD">
      <w:pPr>
        <w:spacing w:after="60"/>
        <w:jc w:val="both"/>
      </w:pPr>
      <w:r>
        <w:t>An example on the dynamic determination of DL association set is illustrated in Figure 1 for single carrier. The DL association set for a HARQ feedback to be transmitted on certain slot can be determined based on a few simple rules:</w:t>
      </w:r>
    </w:p>
    <w:p w14:paraId="7C38F5AE" w14:textId="77777777" w:rsidR="004142CD" w:rsidRDefault="004142CD" w:rsidP="004142CD">
      <w:pPr>
        <w:pStyle w:val="ListParagraph"/>
        <w:numPr>
          <w:ilvl w:val="0"/>
          <w:numId w:val="34"/>
        </w:numPr>
        <w:spacing w:after="60" w:line="256" w:lineRule="auto"/>
        <w:jc w:val="both"/>
        <w:rPr>
          <w:lang w:val="en-US"/>
        </w:rPr>
      </w:pPr>
      <w:r w:rsidRPr="003252A4">
        <w:rPr>
          <w:sz w:val="20"/>
          <w:szCs w:val="20"/>
          <w:lang w:val="en-US"/>
        </w:rPr>
        <w:t>DL association set starts from a slot where PDSCH is associated to UCI transmission in the certain slot for the first time. In the Figure 1, this is the slot #3 f</w:t>
      </w:r>
      <w:r w:rsidRPr="00CA1F91">
        <w:rPr>
          <w:sz w:val="20"/>
          <w:szCs w:val="20"/>
          <w:lang w:val="en-US"/>
        </w:rPr>
        <w:t>or the UCI transmitted in slot #7.</w:t>
      </w:r>
    </w:p>
    <w:p w14:paraId="275DA560" w14:textId="7941FDD7" w:rsidR="004142CD" w:rsidRPr="00C94A3C" w:rsidRDefault="004142CD" w:rsidP="003019FF">
      <w:pPr>
        <w:pStyle w:val="ListParagraph"/>
        <w:numPr>
          <w:ilvl w:val="0"/>
          <w:numId w:val="34"/>
        </w:numPr>
        <w:spacing w:after="60" w:line="256" w:lineRule="auto"/>
        <w:jc w:val="both"/>
        <w:rPr>
          <w:lang w:val="en-US"/>
        </w:rPr>
      </w:pPr>
      <w:r w:rsidRPr="003252A4">
        <w:rPr>
          <w:sz w:val="20"/>
          <w:szCs w:val="20"/>
          <w:lang w:val="en-US"/>
        </w:rPr>
        <w:t>The last slot of the DL association set is determined by the UE minimum (configured) processing time so that UE can prepare HARQ-ACK in time. In Figure 1, this is the slot #5 for the UCI transmitted in slot #7.</w:t>
      </w:r>
    </w:p>
    <w:p w14:paraId="4E9E1A02" w14:textId="577BAF66" w:rsidR="004142CD" w:rsidRPr="003019FF" w:rsidRDefault="004142CD" w:rsidP="004142CD">
      <w:pPr>
        <w:jc w:val="center"/>
        <w:rPr>
          <w:lang w:val="en-US"/>
        </w:rPr>
      </w:pPr>
      <w:r>
        <w:rPr>
          <w:noProof/>
          <w:lang w:val="en-US" w:eastAsia="zh-CN"/>
        </w:rPr>
        <w:drawing>
          <wp:inline distT="0" distB="0" distL="0" distR="0" wp14:anchorId="6C2AFB60" wp14:editId="2ADB6775">
            <wp:extent cx="4410000" cy="1836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10000" cy="1836000"/>
                    </a:xfrm>
                    <a:prstGeom prst="rect">
                      <a:avLst/>
                    </a:prstGeom>
                    <a:noFill/>
                    <a:ln>
                      <a:noFill/>
                    </a:ln>
                  </pic:spPr>
                </pic:pic>
              </a:graphicData>
            </a:graphic>
          </wp:inline>
        </w:drawing>
      </w:r>
    </w:p>
    <w:p w14:paraId="2258992B" w14:textId="73B429D9" w:rsidR="004142CD" w:rsidRDefault="004142CD" w:rsidP="003019FF">
      <w:pPr>
        <w:pStyle w:val="Caption"/>
        <w:spacing w:after="240"/>
        <w:jc w:val="center"/>
      </w:pPr>
      <w:r>
        <w:t xml:space="preserve">Figure </w:t>
      </w:r>
      <w:r w:rsidR="008F2E12">
        <w:fldChar w:fldCharType="begin"/>
      </w:r>
      <w:r w:rsidR="008F2E12">
        <w:instrText xml:space="preserve"> SEQ Figure \* ARABIC </w:instrText>
      </w:r>
      <w:r w:rsidR="008F2E12">
        <w:fldChar w:fldCharType="separate"/>
      </w:r>
      <w:r w:rsidR="00FB2505">
        <w:rPr>
          <w:noProof/>
        </w:rPr>
        <w:t>4</w:t>
      </w:r>
      <w:r w:rsidR="008F2E12">
        <w:rPr>
          <w:noProof/>
        </w:rPr>
        <w:fldChar w:fldCharType="end"/>
      </w:r>
      <w:r>
        <w:t>. Dynamic determination of DL association set based on the indicated HARQ-ACK timing offset.</w:t>
      </w:r>
    </w:p>
    <w:p w14:paraId="12CCB826" w14:textId="61199B05" w:rsidR="00192641" w:rsidRDefault="00192641" w:rsidP="004142CD">
      <w:pPr>
        <w:spacing w:after="120"/>
        <w:jc w:val="both"/>
      </w:pPr>
      <w:r>
        <w:rPr>
          <w:rFonts w:eastAsia="MS Mincho"/>
          <w:lang w:eastAsia="ja-JP"/>
        </w:rPr>
        <w:t>The codebook size determination may be semi-static or dynamic. Semi-static codebook size may be used with semi-static DL association set, i.e. in the cases</w:t>
      </w:r>
      <w:r w:rsidR="00935768">
        <w:rPr>
          <w:rFonts w:eastAsia="MS Mincho"/>
          <w:lang w:eastAsia="ja-JP"/>
        </w:rPr>
        <w:t xml:space="preserve"> of semi-static</w:t>
      </w:r>
      <w:r>
        <w:rPr>
          <w:rFonts w:eastAsia="MS Mincho"/>
          <w:lang w:eastAsia="ja-JP"/>
        </w:rPr>
        <w:t xml:space="preserve"> timing relationship between DL data and corresponding HARQ-ACK – such as FDD deployment. </w:t>
      </w:r>
      <w:r>
        <w:rPr>
          <w:rFonts w:eastAsia="MS Mincho"/>
          <w:lang w:val="en-US" w:eastAsia="ja-JP"/>
        </w:rPr>
        <w:t xml:space="preserve">In the cases of dynamic </w:t>
      </w:r>
      <w:r>
        <w:t xml:space="preserve">DL association set determination, the determination of HARQ-ACK codebook size can also be dynamic. However, for the cases where HARQ-ACK codebook remains relatively small, e.g., below 12 bits, semi-statically configured codebook size with dynamically determined DL association set can also be used. </w:t>
      </w:r>
    </w:p>
    <w:p w14:paraId="1018B7AE" w14:textId="3D1D18C2" w:rsidR="00192641" w:rsidRDefault="004142CD" w:rsidP="003019FF">
      <w:pPr>
        <w:spacing w:after="120"/>
        <w:jc w:val="both"/>
      </w:pPr>
      <w:r>
        <w:t xml:space="preserve">Dynamic determination of </w:t>
      </w:r>
      <w:r w:rsidR="00192641">
        <w:t xml:space="preserve">DL association set and </w:t>
      </w:r>
      <w:r>
        <w:t xml:space="preserve">HARQ-ACK codebook involves </w:t>
      </w:r>
      <w:r w:rsidR="00363B5F">
        <w:t>particular</w:t>
      </w:r>
      <w:r>
        <w:t xml:space="preserve"> error cases</w:t>
      </w:r>
      <w:r w:rsidR="00363B5F">
        <w:t xml:space="preserve"> that needs to be considered</w:t>
      </w:r>
      <w:r>
        <w:t xml:space="preserve">. For example, missing DL grant for the first DL slot to be included in the HARQ-ACK codebook may lead, </w:t>
      </w:r>
      <w:r>
        <w:lastRenderedPageBreak/>
        <w:t xml:space="preserve">depending on the design, erroneous ordering of HARQ-ACK bits or erroneous HARQ-ACK codebook size. Obviously, appropriate mechanisms, such as counter DAI in LTE, to mitigate such error cases need to be employed with dynamic DL association set and HARQ-ACK codebook size determination. The use of counter DAI to determine the first slot of DL association set is illustrated in Figure 2 for single carrier. In the figure, UE misses the DL grant on slot #3. However, UE can correctly determine the first slot of DL association set based on the counter DAI that it receives in slot #5. </w:t>
      </w:r>
    </w:p>
    <w:p w14:paraId="5EFF000E" w14:textId="32A0DB50" w:rsidR="004142CD" w:rsidRDefault="00B21847" w:rsidP="003019FF">
      <w:pPr>
        <w:spacing w:after="120"/>
        <w:jc w:val="center"/>
      </w:pPr>
      <w:r w:rsidRPr="00B21847">
        <w:rPr>
          <w:noProof/>
        </w:rPr>
        <w:drawing>
          <wp:inline distT="0" distB="0" distL="0" distR="0" wp14:anchorId="68643B3B" wp14:editId="4222ADC5">
            <wp:extent cx="4482000" cy="182160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82000" cy="1821600"/>
                    </a:xfrm>
                    <a:prstGeom prst="rect">
                      <a:avLst/>
                    </a:prstGeom>
                    <a:noFill/>
                    <a:ln>
                      <a:noFill/>
                    </a:ln>
                  </pic:spPr>
                </pic:pic>
              </a:graphicData>
            </a:graphic>
          </wp:inline>
        </w:drawing>
      </w:r>
    </w:p>
    <w:p w14:paraId="77B1EF07" w14:textId="408363D7" w:rsidR="004142CD" w:rsidRDefault="004142CD" w:rsidP="003019FF">
      <w:pPr>
        <w:pStyle w:val="Caption"/>
        <w:spacing w:after="240"/>
        <w:jc w:val="center"/>
      </w:pPr>
      <w:r>
        <w:t xml:space="preserve">Figure </w:t>
      </w:r>
      <w:r w:rsidR="008F2E12">
        <w:fldChar w:fldCharType="begin"/>
      </w:r>
      <w:r w:rsidR="008F2E12">
        <w:instrText xml:space="preserve"> SEQ Figure \* ARABIC </w:instrText>
      </w:r>
      <w:r w:rsidR="008F2E12">
        <w:fldChar w:fldCharType="separate"/>
      </w:r>
      <w:r w:rsidR="00FB2505">
        <w:rPr>
          <w:noProof/>
        </w:rPr>
        <w:t>5</w:t>
      </w:r>
      <w:r w:rsidR="008F2E12">
        <w:rPr>
          <w:noProof/>
        </w:rPr>
        <w:fldChar w:fldCharType="end"/>
      </w:r>
      <w:r>
        <w:t xml:space="preserve">. Dynamic determination of DL association set </w:t>
      </w:r>
      <w:r w:rsidRPr="00046D41">
        <w:t>based on the indicated HARQ-ACK timing offset.</w:t>
      </w:r>
      <w:r>
        <w:t xml:space="preserve"> </w:t>
      </w:r>
    </w:p>
    <w:p w14:paraId="2F6C204B" w14:textId="3F332EB8" w:rsidR="003E78D7" w:rsidRDefault="00456B7D" w:rsidP="003019FF">
      <w:pPr>
        <w:spacing w:after="0"/>
        <w:jc w:val="both"/>
        <w:rPr>
          <w:bCs/>
          <w:iCs/>
        </w:rPr>
      </w:pPr>
      <w:r>
        <w:rPr>
          <w:bCs/>
          <w:iCs/>
        </w:rPr>
        <w:t xml:space="preserve">Once the first slot of DL association set is determined, it needs to be decide whether HARQ-ACK is reported for all slots in the DL association or only for slots scheduled for UE. This </w:t>
      </w:r>
      <w:r w:rsidR="00F62C1C">
        <w:rPr>
          <w:bCs/>
          <w:iCs/>
        </w:rPr>
        <w:t xml:space="preserve">is relevant for both semi-static and dynamic codebook size, as it </w:t>
      </w:r>
      <w:r>
        <w:rPr>
          <w:bCs/>
          <w:iCs/>
        </w:rPr>
        <w:t xml:space="preserve">affects </w:t>
      </w:r>
      <w:r w:rsidR="00F62C1C">
        <w:rPr>
          <w:bCs/>
          <w:iCs/>
        </w:rPr>
        <w:t xml:space="preserve">the </w:t>
      </w:r>
      <w:r>
        <w:rPr>
          <w:bCs/>
          <w:iCs/>
        </w:rPr>
        <w:t xml:space="preserve">ordering </w:t>
      </w:r>
      <w:r w:rsidR="00F62C1C">
        <w:rPr>
          <w:bCs/>
          <w:iCs/>
        </w:rPr>
        <w:t xml:space="preserve">of HARQ-ACK bits in the codebook. Another aspect to consider in </w:t>
      </w:r>
      <w:r w:rsidR="00A20818">
        <w:rPr>
          <w:bCs/>
          <w:iCs/>
        </w:rPr>
        <w:t xml:space="preserve">the </w:t>
      </w:r>
      <w:r w:rsidR="00F62C1C">
        <w:rPr>
          <w:bCs/>
          <w:iCs/>
        </w:rPr>
        <w:t>case of dynamic codebook size is the determination of last</w:t>
      </w:r>
      <w:r w:rsidR="003E78D7">
        <w:rPr>
          <w:bCs/>
          <w:iCs/>
        </w:rPr>
        <w:t xml:space="preserve"> ACK/NACK included to the codebook. These can be addressed e.g. with following two approaches: </w:t>
      </w:r>
    </w:p>
    <w:p w14:paraId="1B8F5188" w14:textId="77777777" w:rsidR="003E78D7" w:rsidRPr="00A3650B" w:rsidRDefault="003E78D7" w:rsidP="003019FF">
      <w:pPr>
        <w:pStyle w:val="ListParagraph"/>
        <w:numPr>
          <w:ilvl w:val="0"/>
          <w:numId w:val="42"/>
        </w:numPr>
        <w:jc w:val="both"/>
        <w:rPr>
          <w:bCs/>
          <w:iCs/>
          <w:lang w:val="en-US"/>
        </w:rPr>
      </w:pPr>
      <w:r>
        <w:rPr>
          <w:bCs/>
          <w:iCs/>
          <w:sz w:val="20"/>
          <w:lang w:val="en-US"/>
        </w:rPr>
        <w:t xml:space="preserve">HARQ-ACK is reported to all </w:t>
      </w:r>
      <w:r w:rsidRPr="003019FF">
        <w:rPr>
          <w:bCs/>
          <w:iCs/>
          <w:sz w:val="20"/>
          <w:szCs w:val="20"/>
          <w:lang w:val="en-US"/>
        </w:rPr>
        <w:t>slots in the DL association set. As the</w:t>
      </w:r>
      <w:r w:rsidRPr="003019FF">
        <w:rPr>
          <w:sz w:val="20"/>
          <w:szCs w:val="20"/>
          <w:lang w:val="en-US"/>
        </w:rPr>
        <w:t xml:space="preserve"> last slot in</w:t>
      </w:r>
      <w:r w:rsidR="00456B7D" w:rsidRPr="003019FF">
        <w:rPr>
          <w:sz w:val="20"/>
          <w:szCs w:val="20"/>
          <w:lang w:val="en-US"/>
        </w:rPr>
        <w:t xml:space="preserve"> DL association set is determined based on the UE minimum (configured) processing time, there is no error case rel</w:t>
      </w:r>
      <w:r w:rsidRPr="003019FF">
        <w:rPr>
          <w:sz w:val="20"/>
          <w:szCs w:val="20"/>
          <w:lang w:val="en-US"/>
        </w:rPr>
        <w:t xml:space="preserve">ated to the missing the </w:t>
      </w:r>
      <w:r>
        <w:rPr>
          <w:sz w:val="20"/>
          <w:szCs w:val="20"/>
          <w:lang w:val="en-US"/>
        </w:rPr>
        <w:t xml:space="preserve">last </w:t>
      </w:r>
      <w:r w:rsidRPr="003019FF">
        <w:rPr>
          <w:sz w:val="20"/>
          <w:szCs w:val="20"/>
          <w:lang w:val="en-US"/>
        </w:rPr>
        <w:t xml:space="preserve">DL </w:t>
      </w:r>
      <w:r>
        <w:rPr>
          <w:sz w:val="20"/>
          <w:szCs w:val="20"/>
          <w:lang w:val="en-US"/>
        </w:rPr>
        <w:t>assignment</w:t>
      </w:r>
      <w:r w:rsidRPr="003019FF">
        <w:rPr>
          <w:sz w:val="20"/>
          <w:szCs w:val="20"/>
          <w:lang w:val="en-US"/>
        </w:rPr>
        <w:t xml:space="preserve"> </w:t>
      </w:r>
      <w:r w:rsidR="00456B7D" w:rsidRPr="003019FF">
        <w:rPr>
          <w:sz w:val="20"/>
          <w:szCs w:val="20"/>
          <w:lang w:val="en-US"/>
        </w:rPr>
        <w:t xml:space="preserve">to be included in the HARQ-ACK codebook. </w:t>
      </w:r>
      <w:r w:rsidRPr="003019FF">
        <w:rPr>
          <w:sz w:val="20"/>
          <w:szCs w:val="20"/>
          <w:lang w:val="en-US"/>
        </w:rPr>
        <w:t>However,</w:t>
      </w:r>
      <w:r w:rsidR="00456B7D" w:rsidRPr="003019FF">
        <w:rPr>
          <w:sz w:val="20"/>
          <w:szCs w:val="20"/>
          <w:lang w:val="en-US"/>
        </w:rPr>
        <w:t xml:space="preserve"> the counter DAI is incremented per slot instead of being incremented per slot that is actually scheduled for the UE. </w:t>
      </w:r>
    </w:p>
    <w:p w14:paraId="731FA9B8" w14:textId="159A8B20" w:rsidR="00456B7D" w:rsidRPr="00A3650B" w:rsidRDefault="003E78D7" w:rsidP="001C66EE">
      <w:pPr>
        <w:pStyle w:val="ListParagraph"/>
        <w:numPr>
          <w:ilvl w:val="0"/>
          <w:numId w:val="42"/>
        </w:numPr>
        <w:spacing w:after="120"/>
        <w:ind w:left="641" w:hanging="357"/>
        <w:jc w:val="both"/>
        <w:rPr>
          <w:bCs/>
          <w:iCs/>
          <w:lang w:val="en-US"/>
        </w:rPr>
      </w:pPr>
      <w:r w:rsidRPr="003019FF">
        <w:rPr>
          <w:sz w:val="20"/>
          <w:szCs w:val="20"/>
          <w:lang w:val="en-US"/>
        </w:rPr>
        <w:t>A</w:t>
      </w:r>
      <w:r>
        <w:rPr>
          <w:sz w:val="20"/>
          <w:szCs w:val="20"/>
          <w:lang w:val="en-US"/>
        </w:rPr>
        <w:t xml:space="preserve">nother </w:t>
      </w:r>
      <w:r w:rsidR="00456B7D" w:rsidRPr="003019FF">
        <w:rPr>
          <w:sz w:val="20"/>
          <w:szCs w:val="20"/>
          <w:lang w:val="en-US"/>
        </w:rPr>
        <w:t xml:space="preserve">alternative </w:t>
      </w:r>
      <w:r>
        <w:rPr>
          <w:sz w:val="20"/>
          <w:szCs w:val="20"/>
          <w:lang w:val="en-US"/>
        </w:rPr>
        <w:t xml:space="preserve">is </w:t>
      </w:r>
      <w:r w:rsidR="00456B7D" w:rsidRPr="003019FF">
        <w:rPr>
          <w:sz w:val="20"/>
          <w:szCs w:val="20"/>
          <w:lang w:val="en-US"/>
        </w:rPr>
        <w:t xml:space="preserve">to use </w:t>
      </w:r>
      <w:r>
        <w:rPr>
          <w:sz w:val="20"/>
          <w:szCs w:val="20"/>
          <w:lang w:val="en-US"/>
        </w:rPr>
        <w:t xml:space="preserve">the </w:t>
      </w:r>
      <w:r w:rsidR="00456B7D" w:rsidRPr="003019FF">
        <w:rPr>
          <w:sz w:val="20"/>
          <w:szCs w:val="20"/>
          <w:lang w:val="en-US"/>
        </w:rPr>
        <w:t xml:space="preserve">combination of counter DAI and total DAI. </w:t>
      </w:r>
    </w:p>
    <w:p w14:paraId="6D7064F7" w14:textId="204B94E2" w:rsidR="00735F5D" w:rsidRPr="003019FF" w:rsidRDefault="00735F5D" w:rsidP="001C66EE">
      <w:pPr>
        <w:jc w:val="both"/>
        <w:rPr>
          <w:lang w:val="en-US"/>
        </w:rPr>
      </w:pPr>
      <w:r>
        <w:rPr>
          <w:lang w:val="en-US"/>
        </w:rPr>
        <w:t xml:space="preserve">Given the discussion above, we propose that </w:t>
      </w:r>
      <w:r w:rsidR="006B7B35">
        <w:rPr>
          <w:lang w:val="en-US"/>
        </w:rPr>
        <w:t xml:space="preserve">both </w:t>
      </w:r>
      <w:r>
        <w:rPr>
          <w:lang w:val="en-US"/>
        </w:rPr>
        <w:t xml:space="preserve">dynamic </w:t>
      </w:r>
      <w:r w:rsidR="006B7B35">
        <w:rPr>
          <w:lang w:val="en-US"/>
        </w:rPr>
        <w:t xml:space="preserve">and semi-static </w:t>
      </w:r>
      <w:r>
        <w:rPr>
          <w:lang w:val="en-US"/>
        </w:rPr>
        <w:t>determination of DL association set and HARQ-ACK codebook size are supported for single carrier HARQ-ACK feedback.</w:t>
      </w:r>
    </w:p>
    <w:p w14:paraId="002BC680" w14:textId="7E8FDD2F" w:rsidR="004142CD" w:rsidRPr="003019FF" w:rsidRDefault="004142CD" w:rsidP="00692297">
      <w:pPr>
        <w:jc w:val="both"/>
        <w:rPr>
          <w:b/>
          <w:bCs/>
          <w:i/>
          <w:iCs/>
        </w:rPr>
      </w:pPr>
      <w:r w:rsidRPr="003252A4">
        <w:rPr>
          <w:b/>
          <w:bCs/>
          <w:i/>
          <w:iCs/>
        </w:rPr>
        <w:t>Proposal #</w:t>
      </w:r>
      <w:r w:rsidR="00362017">
        <w:rPr>
          <w:b/>
          <w:bCs/>
          <w:i/>
          <w:iCs/>
        </w:rPr>
        <w:t>7</w:t>
      </w:r>
      <w:r w:rsidRPr="003252A4">
        <w:rPr>
          <w:b/>
          <w:bCs/>
          <w:i/>
          <w:iCs/>
        </w:rPr>
        <w:t>:</w:t>
      </w:r>
      <w:r w:rsidR="002A6B09">
        <w:rPr>
          <w:b/>
          <w:bCs/>
          <w:i/>
          <w:iCs/>
        </w:rPr>
        <w:t xml:space="preserve"> </w:t>
      </w:r>
      <w:r w:rsidR="00363B5F">
        <w:rPr>
          <w:bCs/>
          <w:i/>
          <w:iCs/>
        </w:rPr>
        <w:t xml:space="preserve">Both </w:t>
      </w:r>
      <w:r w:rsidR="006B6A50">
        <w:rPr>
          <w:bCs/>
          <w:i/>
          <w:iCs/>
        </w:rPr>
        <w:t>d</w:t>
      </w:r>
      <w:r w:rsidR="006B6A50" w:rsidRPr="003019FF">
        <w:rPr>
          <w:bCs/>
          <w:i/>
          <w:iCs/>
        </w:rPr>
        <w:t>ynamic</w:t>
      </w:r>
      <w:r w:rsidR="006B6A50">
        <w:rPr>
          <w:bCs/>
          <w:i/>
          <w:iCs/>
        </w:rPr>
        <w:t xml:space="preserve"> and semi-static</w:t>
      </w:r>
      <w:r w:rsidR="006B6A50" w:rsidRPr="003019FF">
        <w:rPr>
          <w:bCs/>
          <w:i/>
          <w:iCs/>
        </w:rPr>
        <w:t xml:space="preserve"> determ</w:t>
      </w:r>
      <w:r w:rsidR="006B6A50">
        <w:rPr>
          <w:bCs/>
          <w:i/>
          <w:iCs/>
        </w:rPr>
        <w:t>ination of DL association set</w:t>
      </w:r>
      <w:r w:rsidR="006B6A50" w:rsidRPr="003019FF">
        <w:rPr>
          <w:bCs/>
          <w:i/>
          <w:iCs/>
        </w:rPr>
        <w:t xml:space="preserve"> </w:t>
      </w:r>
      <w:r w:rsidR="006B6A50">
        <w:rPr>
          <w:bCs/>
          <w:i/>
          <w:iCs/>
        </w:rPr>
        <w:t>are</w:t>
      </w:r>
      <w:r w:rsidR="006B6A50" w:rsidRPr="003019FF">
        <w:rPr>
          <w:bCs/>
          <w:i/>
          <w:iCs/>
        </w:rPr>
        <w:t xml:space="preserve"> supported</w:t>
      </w:r>
      <w:r w:rsidR="006B6A50">
        <w:rPr>
          <w:bCs/>
          <w:i/>
          <w:iCs/>
        </w:rPr>
        <w:t>. D</w:t>
      </w:r>
      <w:r w:rsidRPr="003019FF">
        <w:rPr>
          <w:bCs/>
          <w:i/>
          <w:iCs/>
        </w:rPr>
        <w:t>ynamic</w:t>
      </w:r>
      <w:r w:rsidR="00B82DD1">
        <w:rPr>
          <w:bCs/>
          <w:i/>
          <w:iCs/>
        </w:rPr>
        <w:t xml:space="preserve"> and semi-static</w:t>
      </w:r>
      <w:r w:rsidRPr="003019FF">
        <w:rPr>
          <w:bCs/>
          <w:i/>
          <w:iCs/>
        </w:rPr>
        <w:t xml:space="preserve"> determination of HARQ-ACK codebook size </w:t>
      </w:r>
      <w:r w:rsidR="00B82DD1">
        <w:rPr>
          <w:bCs/>
          <w:i/>
          <w:iCs/>
        </w:rPr>
        <w:t>are</w:t>
      </w:r>
      <w:r w:rsidR="006B6A50">
        <w:rPr>
          <w:bCs/>
          <w:i/>
          <w:iCs/>
        </w:rPr>
        <w:t xml:space="preserve"> also</w:t>
      </w:r>
      <w:r w:rsidRPr="003019FF">
        <w:rPr>
          <w:bCs/>
          <w:i/>
          <w:iCs/>
        </w:rPr>
        <w:t xml:space="preserve"> supported</w:t>
      </w:r>
      <w:r w:rsidR="00692297">
        <w:rPr>
          <w:bCs/>
          <w:i/>
          <w:iCs/>
        </w:rPr>
        <w:t xml:space="preserve"> for single carrier HARQ-ACK feedback</w:t>
      </w:r>
      <w:r w:rsidRPr="003019FF">
        <w:rPr>
          <w:bCs/>
          <w:i/>
          <w:iCs/>
        </w:rPr>
        <w:t>.</w:t>
      </w:r>
      <w:r w:rsidRPr="003252A4">
        <w:rPr>
          <w:b/>
          <w:bCs/>
          <w:i/>
          <w:iCs/>
        </w:rPr>
        <w:t xml:space="preserve"> </w:t>
      </w:r>
    </w:p>
    <w:p w14:paraId="2A6ABFCB" w14:textId="1955214D" w:rsidR="004142CD" w:rsidRDefault="004142CD" w:rsidP="00692297">
      <w:pPr>
        <w:jc w:val="both"/>
        <w:rPr>
          <w:bCs/>
          <w:i/>
          <w:iCs/>
        </w:rPr>
      </w:pPr>
      <w:r w:rsidRPr="003252A4">
        <w:rPr>
          <w:b/>
          <w:bCs/>
          <w:i/>
          <w:iCs/>
          <w:lang w:val="en-US"/>
        </w:rPr>
        <w:t>Proposal</w:t>
      </w:r>
      <w:r w:rsidRPr="003252A4">
        <w:rPr>
          <w:b/>
          <w:bCs/>
          <w:i/>
          <w:iCs/>
        </w:rPr>
        <w:t xml:space="preserve"> #</w:t>
      </w:r>
      <w:r w:rsidR="00362017">
        <w:rPr>
          <w:b/>
          <w:bCs/>
          <w:i/>
          <w:iCs/>
        </w:rPr>
        <w:t>8</w:t>
      </w:r>
      <w:r w:rsidRPr="003252A4">
        <w:rPr>
          <w:b/>
          <w:bCs/>
          <w:i/>
          <w:iCs/>
        </w:rPr>
        <w:t xml:space="preserve">: </w:t>
      </w:r>
      <w:r w:rsidR="00363B5F">
        <w:rPr>
          <w:bCs/>
          <w:i/>
          <w:iCs/>
        </w:rPr>
        <w:t>DAI</w:t>
      </w:r>
      <w:r w:rsidRPr="003019FF">
        <w:rPr>
          <w:bCs/>
          <w:i/>
          <w:iCs/>
        </w:rPr>
        <w:t xml:space="preserve"> mechanism</w:t>
      </w:r>
      <w:r w:rsidR="00363B5F">
        <w:rPr>
          <w:bCs/>
          <w:i/>
          <w:iCs/>
        </w:rPr>
        <w:t xml:space="preserve"> is used</w:t>
      </w:r>
      <w:r w:rsidRPr="003019FF">
        <w:rPr>
          <w:bCs/>
          <w:i/>
          <w:iCs/>
        </w:rPr>
        <w:t xml:space="preserve"> to mitigate error cases related to the dynamic determination of DL association set and HARQ-ACK codebook size.</w:t>
      </w:r>
    </w:p>
    <w:p w14:paraId="33688D44" w14:textId="62D58B2C" w:rsidR="00692297" w:rsidRPr="00692297" w:rsidRDefault="00692297" w:rsidP="00692297">
      <w:pPr>
        <w:spacing w:after="0"/>
        <w:jc w:val="both"/>
        <w:rPr>
          <w:rFonts w:eastAsia="MS Mincho"/>
          <w:i/>
          <w:lang w:val="en-US" w:eastAsia="ja-JP"/>
        </w:rPr>
      </w:pPr>
      <w:r w:rsidRPr="00692297">
        <w:rPr>
          <w:b/>
          <w:i/>
          <w:lang w:val="en-US"/>
        </w:rPr>
        <w:t>Proposal #9:</w:t>
      </w:r>
      <w:r w:rsidRPr="00517466">
        <w:rPr>
          <w:b/>
          <w:lang w:val="en-US"/>
        </w:rPr>
        <w:t xml:space="preserve"> </w:t>
      </w:r>
      <w:r>
        <w:rPr>
          <w:i/>
          <w:lang w:val="en-US"/>
        </w:rPr>
        <w:t>When DL association set is dynamically determined,</w:t>
      </w:r>
    </w:p>
    <w:p w14:paraId="4D002D83" w14:textId="77777777" w:rsidR="00692297" w:rsidRPr="00692297" w:rsidRDefault="00692297" w:rsidP="00692297">
      <w:pPr>
        <w:pStyle w:val="ListParagraph"/>
        <w:numPr>
          <w:ilvl w:val="0"/>
          <w:numId w:val="50"/>
        </w:numPr>
        <w:spacing w:after="160" w:line="259" w:lineRule="auto"/>
        <w:jc w:val="both"/>
        <w:rPr>
          <w:i/>
          <w:sz w:val="20"/>
          <w:szCs w:val="20"/>
          <w:lang w:val="en-US"/>
        </w:rPr>
      </w:pPr>
      <w:r w:rsidRPr="00692297">
        <w:rPr>
          <w:i/>
          <w:sz w:val="20"/>
          <w:szCs w:val="20"/>
          <w:lang w:val="en-US"/>
        </w:rPr>
        <w:t xml:space="preserve">DL association set starts from first TTI where PDSCH is associated to UCI transmission in certain UL TTI </w:t>
      </w:r>
    </w:p>
    <w:p w14:paraId="28A7A5F8" w14:textId="2EAD894D" w:rsidR="00692297" w:rsidRPr="00692297" w:rsidRDefault="00692297" w:rsidP="00692297">
      <w:pPr>
        <w:pStyle w:val="ListParagraph"/>
        <w:numPr>
          <w:ilvl w:val="0"/>
          <w:numId w:val="50"/>
        </w:numPr>
        <w:spacing w:after="160" w:line="259" w:lineRule="auto"/>
        <w:jc w:val="both"/>
        <w:rPr>
          <w:i/>
          <w:sz w:val="20"/>
          <w:szCs w:val="20"/>
          <w:lang w:val="en-US"/>
        </w:rPr>
      </w:pPr>
      <w:r w:rsidRPr="00692297">
        <w:rPr>
          <w:i/>
          <w:sz w:val="20"/>
          <w:szCs w:val="20"/>
          <w:lang w:val="en-US"/>
        </w:rPr>
        <w:t xml:space="preserve">Last TTI of the DL association set is the last PDSCH TTI for which UE can prepare HARQ ACK in time given the configured UE processing time. </w:t>
      </w:r>
    </w:p>
    <w:p w14:paraId="235C616B" w14:textId="586EBD51" w:rsidR="006051AA" w:rsidRDefault="00CE160B" w:rsidP="001C66EE">
      <w:pPr>
        <w:spacing w:after="60"/>
        <w:jc w:val="both"/>
        <w:rPr>
          <w:rFonts w:eastAsia="MS Mincho"/>
          <w:lang w:val="en-US" w:eastAsia="ja-JP"/>
        </w:rPr>
      </w:pPr>
      <w:r>
        <w:rPr>
          <w:rFonts w:eastAsia="MS Mincho"/>
          <w:lang w:val="en-US" w:eastAsia="ja-JP"/>
        </w:rPr>
        <w:t>With respect to dynamic DL association set, s</w:t>
      </w:r>
      <w:r w:rsidR="00FB2505">
        <w:rPr>
          <w:rFonts w:eastAsia="MS Mincho"/>
          <w:lang w:val="en-US" w:eastAsia="ja-JP"/>
        </w:rPr>
        <w:t xml:space="preserve">pecial consideration is needed for cases where UE is scheduled both with slots and mini-slots. Such situations may be faced e.g. when mini-slots are used for low latency transmissions. Two examples are shown in Figure 6. </w:t>
      </w:r>
      <w:r w:rsidR="006051AA">
        <w:rPr>
          <w:rFonts w:eastAsia="MS Mincho"/>
          <w:lang w:val="en-US" w:eastAsia="ja-JP"/>
        </w:rPr>
        <w:t xml:space="preserve">In the figure, </w:t>
      </w:r>
      <w:r w:rsidR="004A2FCA">
        <w:rPr>
          <w:rFonts w:eastAsia="MS Mincho"/>
          <w:lang w:val="en-US" w:eastAsia="ja-JP"/>
        </w:rPr>
        <w:t xml:space="preserve">UE has minimum processing time of </w:t>
      </w:r>
      <w:r w:rsidR="00357745">
        <w:rPr>
          <w:rFonts w:eastAsia="MS Mincho"/>
          <w:lang w:val="en-US" w:eastAsia="ja-JP"/>
        </w:rPr>
        <w:t>14 symbols</w:t>
      </w:r>
      <w:r w:rsidR="006051AA">
        <w:rPr>
          <w:rFonts w:eastAsia="MS Mincho"/>
          <w:lang w:val="en-US" w:eastAsia="ja-JP"/>
        </w:rPr>
        <w:t>.</w:t>
      </w:r>
      <w:r w:rsidR="004A2FCA">
        <w:rPr>
          <w:rFonts w:eastAsia="MS Mincho"/>
          <w:lang w:val="en-US" w:eastAsia="ja-JP"/>
        </w:rPr>
        <w:t xml:space="preserve"> </w:t>
      </w:r>
      <w:r w:rsidR="00C2385C">
        <w:rPr>
          <w:rFonts w:eastAsia="MS Mincho"/>
          <w:lang w:val="en-US" w:eastAsia="ja-JP"/>
        </w:rPr>
        <w:t>UE is scheduled with PDSCH in slot n and with two mini-slots in slot n+2. UE reports HARQ-ACK</w:t>
      </w:r>
      <w:r w:rsidR="00A20818">
        <w:rPr>
          <w:rFonts w:eastAsia="MS Mincho"/>
          <w:lang w:val="en-US" w:eastAsia="ja-JP"/>
        </w:rPr>
        <w:t>s</w:t>
      </w:r>
      <w:r w:rsidR="00C2385C">
        <w:rPr>
          <w:rFonts w:eastAsia="MS Mincho"/>
          <w:lang w:val="en-US" w:eastAsia="ja-JP"/>
        </w:rPr>
        <w:t xml:space="preserve"> in slot n+3. </w:t>
      </w:r>
    </w:p>
    <w:p w14:paraId="121594C9" w14:textId="77777777" w:rsidR="006051AA" w:rsidRPr="003019FF" w:rsidRDefault="00C2385C" w:rsidP="003019FF">
      <w:pPr>
        <w:pStyle w:val="ListParagraph"/>
        <w:numPr>
          <w:ilvl w:val="0"/>
          <w:numId w:val="47"/>
        </w:numPr>
        <w:spacing w:after="120"/>
        <w:ind w:left="714" w:hanging="357"/>
        <w:jc w:val="both"/>
        <w:rPr>
          <w:rFonts w:eastAsia="MS Mincho"/>
          <w:lang w:val="en-US" w:eastAsia="ja-JP"/>
        </w:rPr>
      </w:pPr>
      <w:r w:rsidRPr="003019FF">
        <w:rPr>
          <w:rFonts w:eastAsia="MS Mincho"/>
          <w:sz w:val="20"/>
          <w:lang w:val="en-US" w:eastAsia="ja-JP"/>
        </w:rPr>
        <w:t xml:space="preserve">In Figure 6a, UE reports HARQ-ACK for PDSCH slot and mini-slot #2 on short PUCCH at the end of slot n+3. UE reports HARQ-ACK for mini-slot #1 earlier, on symbol #3 of slot. </w:t>
      </w:r>
    </w:p>
    <w:p w14:paraId="1D3352E5" w14:textId="735D40D6" w:rsidR="00750585" w:rsidRPr="00E37779" w:rsidRDefault="00C2385C" w:rsidP="003019FF">
      <w:pPr>
        <w:pStyle w:val="ListParagraph"/>
        <w:numPr>
          <w:ilvl w:val="0"/>
          <w:numId w:val="47"/>
        </w:numPr>
        <w:spacing w:before="240" w:after="120"/>
        <w:jc w:val="both"/>
        <w:rPr>
          <w:rFonts w:eastAsia="MS Mincho"/>
          <w:lang w:val="en-US" w:eastAsia="ja-JP"/>
        </w:rPr>
      </w:pPr>
      <w:r w:rsidRPr="003019FF">
        <w:rPr>
          <w:rFonts w:eastAsia="MS Mincho"/>
          <w:sz w:val="20"/>
          <w:lang w:val="en-US" w:eastAsia="ja-JP"/>
        </w:rPr>
        <w:t xml:space="preserve">In Figure 6b, UE is scheduled also with PUSCH on slot n+3. In this case, UE reports HARQ-ACK for PDSCH slot as well as mini-slot #1 at symbol #3 </w:t>
      </w:r>
      <w:r w:rsidR="00B82DD1">
        <w:rPr>
          <w:rFonts w:eastAsia="MS Mincho"/>
          <w:sz w:val="20"/>
          <w:lang w:val="en-US" w:eastAsia="ja-JP"/>
        </w:rPr>
        <w:t xml:space="preserve">on PUSCH </w:t>
      </w:r>
      <w:r w:rsidRPr="003019FF">
        <w:rPr>
          <w:rFonts w:eastAsia="MS Mincho"/>
          <w:sz w:val="20"/>
          <w:lang w:val="en-US" w:eastAsia="ja-JP"/>
        </w:rPr>
        <w:t xml:space="preserve">right after PUSCH DMRS on symbol #2. </w:t>
      </w:r>
      <w:r w:rsidR="00BC2ABE" w:rsidRPr="003019FF">
        <w:rPr>
          <w:rFonts w:eastAsia="MS Mincho"/>
          <w:sz w:val="20"/>
          <w:lang w:val="en-US" w:eastAsia="ja-JP"/>
        </w:rPr>
        <w:t xml:space="preserve">As HARQ feedback for normal PDSCH slots </w:t>
      </w:r>
      <w:r w:rsidR="007C17BA" w:rsidRPr="003019FF">
        <w:rPr>
          <w:rFonts w:eastAsia="MS Mincho"/>
          <w:sz w:val="20"/>
          <w:lang w:val="en-US" w:eastAsia="ja-JP"/>
        </w:rPr>
        <w:t xml:space="preserve">may contain ACKs for multiple PDSCHs or for CBGs, it may </w:t>
      </w:r>
      <w:r w:rsidR="00B82DD1">
        <w:rPr>
          <w:rFonts w:eastAsia="MS Mincho"/>
          <w:sz w:val="20"/>
          <w:lang w:val="en-US" w:eastAsia="ja-JP"/>
        </w:rPr>
        <w:t xml:space="preserve">have considerable size </w:t>
      </w:r>
      <w:r w:rsidR="007C17BA" w:rsidRPr="003019FF">
        <w:rPr>
          <w:rFonts w:eastAsia="MS Mincho"/>
          <w:sz w:val="20"/>
          <w:lang w:val="en-US" w:eastAsia="ja-JP"/>
        </w:rPr>
        <w:t>and it makes sense to use PUSCH rate matching for them.</w:t>
      </w:r>
      <w:r w:rsidR="00BC2ABE" w:rsidRPr="003019FF">
        <w:rPr>
          <w:rFonts w:eastAsia="MS Mincho"/>
          <w:sz w:val="20"/>
          <w:lang w:val="en-US" w:eastAsia="ja-JP"/>
        </w:rPr>
        <w:t xml:space="preserve"> </w:t>
      </w:r>
      <w:r w:rsidRPr="003019FF">
        <w:rPr>
          <w:rFonts w:eastAsia="MS Mincho"/>
          <w:sz w:val="20"/>
          <w:lang w:val="en-US" w:eastAsia="ja-JP"/>
        </w:rPr>
        <w:t>However, due to UE processing time restriction UE</w:t>
      </w:r>
      <w:r w:rsidR="006740B3" w:rsidRPr="003019FF">
        <w:rPr>
          <w:rFonts w:eastAsia="MS Mincho"/>
          <w:sz w:val="20"/>
          <w:lang w:val="en-US" w:eastAsia="ja-JP"/>
        </w:rPr>
        <w:t xml:space="preserve"> reports</w:t>
      </w:r>
      <w:r w:rsidRPr="003019FF">
        <w:rPr>
          <w:rFonts w:eastAsia="MS Mincho"/>
          <w:sz w:val="20"/>
          <w:lang w:val="en-US" w:eastAsia="ja-JP"/>
        </w:rPr>
        <w:t xml:space="preserve"> the HARQ-ACK bit for mini-slot #2 at the end of </w:t>
      </w:r>
      <w:r w:rsidR="006740B3" w:rsidRPr="003019FF">
        <w:rPr>
          <w:rFonts w:eastAsia="MS Mincho"/>
          <w:sz w:val="20"/>
          <w:lang w:val="en-US" w:eastAsia="ja-JP"/>
        </w:rPr>
        <w:t xml:space="preserve">slot by puncturing </w:t>
      </w:r>
      <w:r w:rsidRPr="003019FF">
        <w:rPr>
          <w:rFonts w:eastAsia="MS Mincho"/>
          <w:sz w:val="20"/>
          <w:lang w:val="en-US" w:eastAsia="ja-JP"/>
        </w:rPr>
        <w:t>PUSCH.</w:t>
      </w:r>
      <w:r w:rsidR="00BC2ABE" w:rsidRPr="003019FF">
        <w:rPr>
          <w:rFonts w:eastAsia="MS Mincho"/>
          <w:sz w:val="20"/>
          <w:lang w:val="en-US" w:eastAsia="ja-JP"/>
        </w:rPr>
        <w:t xml:space="preserve"> </w:t>
      </w:r>
      <w:r w:rsidRPr="003019FF">
        <w:rPr>
          <w:rFonts w:eastAsia="MS Mincho"/>
          <w:sz w:val="20"/>
          <w:lang w:val="en-US" w:eastAsia="ja-JP"/>
        </w:rPr>
        <w:t xml:space="preserve"> </w:t>
      </w:r>
    </w:p>
    <w:p w14:paraId="5B8D3B8A" w14:textId="57AC0E8A" w:rsidR="00E37779" w:rsidRPr="00E37779" w:rsidRDefault="00E37779" w:rsidP="002A6B09">
      <w:pPr>
        <w:spacing w:after="120"/>
        <w:jc w:val="both"/>
        <w:rPr>
          <w:rFonts w:eastAsia="MS Mincho"/>
          <w:lang w:val="en-US" w:eastAsia="ja-JP"/>
        </w:rPr>
      </w:pPr>
      <w:r w:rsidRPr="00E37779">
        <w:rPr>
          <w:rFonts w:eastAsia="MS Mincho"/>
          <w:lang w:val="en-US" w:eastAsia="ja-JP"/>
        </w:rPr>
        <w:t xml:space="preserve">Such flexibility in HARQ reporting - especially when different minimum UE processing time is configured for slots and mini-slots - is achieved when the DL association set and HARQ-ACK codebook determination is applied separately for slots and mini-slots. In other words, DL association set and codebook size are determined separately for slots and mini-slots, and the resulting HARQ-ACK sub-codebooks are then concatenated for joint encoding and transmission.        </w:t>
      </w:r>
    </w:p>
    <w:p w14:paraId="4A08D6D2" w14:textId="7EB696ED" w:rsidR="005A5DB8" w:rsidRDefault="00E37779" w:rsidP="002A6B09">
      <w:pPr>
        <w:spacing w:before="120" w:after="0"/>
        <w:rPr>
          <w:rFonts w:eastAsia="MS Mincho"/>
          <w:lang w:val="en-US" w:eastAsia="ja-JP"/>
        </w:rPr>
      </w:pPr>
      <w:r w:rsidRPr="00E37779">
        <w:rPr>
          <w:rFonts w:eastAsia="MS Mincho"/>
          <w:lang w:val="en-US" w:eastAsia="ja-JP"/>
        </w:rPr>
        <w:lastRenderedPageBreak/>
        <w:t xml:space="preserve"> </w:t>
      </w:r>
      <w:r w:rsidR="005C148B">
        <w:rPr>
          <w:rFonts w:eastAsia="MS Mincho"/>
          <w:lang w:val="en-US" w:eastAsia="ja-JP"/>
        </w:rPr>
        <w:t xml:space="preserve">   </w:t>
      </w:r>
      <w:r w:rsidRPr="00E37779">
        <w:rPr>
          <w:noProof/>
        </w:rPr>
        <w:drawing>
          <wp:inline distT="0" distB="0" distL="0" distR="0" wp14:anchorId="24A44759" wp14:editId="73B143FF">
            <wp:extent cx="5011200" cy="1591200"/>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11200" cy="1591200"/>
                    </a:xfrm>
                    <a:prstGeom prst="rect">
                      <a:avLst/>
                    </a:prstGeom>
                    <a:noFill/>
                    <a:ln>
                      <a:noFill/>
                    </a:ln>
                  </pic:spPr>
                </pic:pic>
              </a:graphicData>
            </a:graphic>
          </wp:inline>
        </w:drawing>
      </w:r>
    </w:p>
    <w:p w14:paraId="2ABA897C" w14:textId="659AF119" w:rsidR="005A5DB8" w:rsidRDefault="005A5DB8" w:rsidP="00E37779">
      <w:pPr>
        <w:spacing w:after="120"/>
        <w:jc w:val="center"/>
        <w:rPr>
          <w:rFonts w:eastAsia="MS Mincho"/>
          <w:lang w:val="en-US" w:eastAsia="ja-JP"/>
        </w:rPr>
      </w:pPr>
      <w:r w:rsidRPr="005A5DB8">
        <w:rPr>
          <w:rFonts w:eastAsia="MS Mincho"/>
          <w:lang w:val="en-US" w:eastAsia="ja-JP"/>
        </w:rPr>
        <w:t>a)</w:t>
      </w:r>
      <w:r>
        <w:rPr>
          <w:rFonts w:eastAsia="MS Mincho"/>
          <w:lang w:val="en-US" w:eastAsia="ja-JP"/>
        </w:rPr>
        <w:t xml:space="preserve"> </w:t>
      </w:r>
    </w:p>
    <w:p w14:paraId="6DCED665" w14:textId="54A2D506" w:rsidR="00E37779" w:rsidRPr="002A6B09" w:rsidRDefault="005C148B" w:rsidP="002A6B09">
      <w:pPr>
        <w:spacing w:before="120" w:after="0"/>
        <w:rPr>
          <w:rFonts w:eastAsia="MS Mincho"/>
          <w:sz w:val="22"/>
          <w:lang w:val="en-US" w:eastAsia="ja-JP"/>
        </w:rPr>
      </w:pPr>
      <w:r w:rsidRPr="005C148B">
        <w:rPr>
          <w:rFonts w:eastAsia="MS Mincho"/>
          <w:sz w:val="22"/>
          <w:lang w:val="en-US" w:eastAsia="ja-JP"/>
        </w:rPr>
        <w:t xml:space="preserve"> </w:t>
      </w:r>
      <w:r>
        <w:rPr>
          <w:rFonts w:eastAsia="MS Mincho"/>
          <w:sz w:val="22"/>
          <w:lang w:val="en-US" w:eastAsia="ja-JP"/>
        </w:rPr>
        <w:t xml:space="preserve">    </w:t>
      </w:r>
      <w:r w:rsidRPr="005C148B">
        <w:rPr>
          <w:noProof/>
        </w:rPr>
        <w:drawing>
          <wp:inline distT="0" distB="0" distL="0" distR="0" wp14:anchorId="1513E64B" wp14:editId="565B9400">
            <wp:extent cx="4651200" cy="163080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51200" cy="1630800"/>
                    </a:xfrm>
                    <a:prstGeom prst="rect">
                      <a:avLst/>
                    </a:prstGeom>
                    <a:noFill/>
                    <a:ln>
                      <a:noFill/>
                    </a:ln>
                  </pic:spPr>
                </pic:pic>
              </a:graphicData>
            </a:graphic>
          </wp:inline>
        </w:drawing>
      </w:r>
      <w:r>
        <w:rPr>
          <w:rFonts w:eastAsia="MS Mincho"/>
          <w:sz w:val="22"/>
          <w:lang w:val="en-US" w:eastAsia="ja-JP"/>
        </w:rPr>
        <w:t xml:space="preserve">    </w:t>
      </w:r>
      <w:r w:rsidRPr="005C148B">
        <w:rPr>
          <w:noProof/>
        </w:rPr>
        <w:drawing>
          <wp:inline distT="0" distB="0" distL="0" distR="0" wp14:anchorId="70ACC6D6" wp14:editId="42CA29DE">
            <wp:extent cx="784800" cy="702000"/>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84800" cy="702000"/>
                    </a:xfrm>
                    <a:prstGeom prst="rect">
                      <a:avLst/>
                    </a:prstGeom>
                    <a:noFill/>
                    <a:ln>
                      <a:noFill/>
                    </a:ln>
                  </pic:spPr>
                </pic:pic>
              </a:graphicData>
            </a:graphic>
          </wp:inline>
        </w:drawing>
      </w:r>
    </w:p>
    <w:p w14:paraId="293E05DC" w14:textId="2108177A" w:rsidR="005A5DB8" w:rsidRDefault="005A5DB8" w:rsidP="00E37779">
      <w:pPr>
        <w:spacing w:after="120"/>
        <w:jc w:val="center"/>
        <w:rPr>
          <w:rFonts w:eastAsia="MS Mincho"/>
          <w:lang w:val="en-US" w:eastAsia="ja-JP"/>
        </w:rPr>
      </w:pPr>
      <w:r>
        <w:rPr>
          <w:rFonts w:eastAsia="MS Mincho"/>
          <w:lang w:val="en-US" w:eastAsia="ja-JP"/>
        </w:rPr>
        <w:t xml:space="preserve">b) </w:t>
      </w:r>
    </w:p>
    <w:p w14:paraId="4E79633C" w14:textId="14E9239B" w:rsidR="005A5DB8" w:rsidRPr="003019FF" w:rsidRDefault="00FB2505" w:rsidP="00A20818">
      <w:pPr>
        <w:pStyle w:val="Caption"/>
        <w:spacing w:before="0" w:after="240"/>
        <w:jc w:val="center"/>
        <w:rPr>
          <w:rFonts w:eastAsia="MS Mincho"/>
          <w:lang w:val="en-US" w:eastAsia="ja-JP"/>
        </w:rPr>
      </w:pPr>
      <w:r>
        <w:t xml:space="preserve">Figure </w:t>
      </w:r>
      <w:r>
        <w:fldChar w:fldCharType="begin"/>
      </w:r>
      <w:r>
        <w:instrText xml:space="preserve"> SEQ Figure \* ARABIC </w:instrText>
      </w:r>
      <w:r>
        <w:fldChar w:fldCharType="separate"/>
      </w:r>
      <w:r>
        <w:rPr>
          <w:noProof/>
        </w:rPr>
        <w:t>6</w:t>
      </w:r>
      <w:r>
        <w:fldChar w:fldCharType="end"/>
      </w:r>
      <w:r w:rsidR="00BC2ABE" w:rsidRPr="003019FF">
        <w:rPr>
          <w:lang w:val="en-US"/>
        </w:rPr>
        <w:t xml:space="preserve">. HARQ-ACK timing for slots and mini-slots when </w:t>
      </w:r>
      <w:r w:rsidR="00BC2ABE">
        <w:rPr>
          <w:lang w:val="en-US"/>
        </w:rPr>
        <w:t xml:space="preserve">a) </w:t>
      </w:r>
      <w:r w:rsidR="00BC2ABE" w:rsidRPr="003019FF">
        <w:rPr>
          <w:lang w:val="en-US"/>
        </w:rPr>
        <w:t xml:space="preserve">PUSCH is </w:t>
      </w:r>
      <w:r w:rsidR="00BC2ABE">
        <w:rPr>
          <w:lang w:val="en-US"/>
        </w:rPr>
        <w:t xml:space="preserve">not </w:t>
      </w:r>
      <w:r w:rsidR="00BC2ABE" w:rsidRPr="003019FF">
        <w:rPr>
          <w:lang w:val="en-US"/>
        </w:rPr>
        <w:t>scheduled and</w:t>
      </w:r>
      <w:r w:rsidR="00BC2ABE">
        <w:rPr>
          <w:lang w:val="en-US"/>
        </w:rPr>
        <w:t xml:space="preserve"> b) PUSCH</w:t>
      </w:r>
      <w:r w:rsidR="00BC2ABE" w:rsidRPr="003019FF">
        <w:rPr>
          <w:lang w:val="en-US"/>
        </w:rPr>
        <w:t xml:space="preserve"> is scheduled</w:t>
      </w:r>
      <w:r w:rsidR="00BC2ABE">
        <w:rPr>
          <w:lang w:val="en-US"/>
        </w:rPr>
        <w:t>.</w:t>
      </w:r>
    </w:p>
    <w:p w14:paraId="726B535F" w14:textId="40528C7A" w:rsidR="007C17BA" w:rsidRPr="003019FF" w:rsidRDefault="007C17BA" w:rsidP="00A20818">
      <w:pPr>
        <w:spacing w:after="60"/>
        <w:jc w:val="both"/>
        <w:rPr>
          <w:rFonts w:eastAsia="MS Mincho"/>
          <w:lang w:val="en-US" w:eastAsia="ja-JP"/>
        </w:rPr>
      </w:pPr>
      <w:r w:rsidRPr="003019FF">
        <w:rPr>
          <w:rFonts w:eastAsia="MS Mincho"/>
          <w:lang w:val="en-US" w:eastAsia="ja-JP"/>
        </w:rPr>
        <w:t xml:space="preserve">An alternative approach for handling HARQ feedback for slots and mini-slots is to determine </w:t>
      </w:r>
      <w:r w:rsidR="00CE18DD">
        <w:rPr>
          <w:rFonts w:eastAsia="MS Mincho"/>
          <w:lang w:val="en-US" w:eastAsia="ja-JP"/>
        </w:rPr>
        <w:t>HARQ-ACK</w:t>
      </w:r>
      <w:r w:rsidRPr="003019FF">
        <w:rPr>
          <w:rFonts w:eastAsia="MS Mincho"/>
          <w:lang w:val="en-US" w:eastAsia="ja-JP"/>
        </w:rPr>
        <w:t xml:space="preserve"> codebook jointly over the slots and mini-slots</w:t>
      </w:r>
      <w:r w:rsidR="004A2FCA">
        <w:rPr>
          <w:rFonts w:eastAsia="MS Mincho"/>
          <w:lang w:val="en-US" w:eastAsia="ja-JP"/>
        </w:rPr>
        <w:t xml:space="preserve"> with joint DAI</w:t>
      </w:r>
      <w:r w:rsidRPr="003019FF">
        <w:rPr>
          <w:rFonts w:eastAsia="MS Mincho"/>
          <w:lang w:val="en-US" w:eastAsia="ja-JP"/>
        </w:rPr>
        <w:t>. However, there are challenges involved as c</w:t>
      </w:r>
      <w:r w:rsidR="004A2FCA" w:rsidRPr="0038303D">
        <w:rPr>
          <w:rFonts w:eastAsia="MS Mincho"/>
          <w:lang w:val="en-US" w:eastAsia="ja-JP"/>
        </w:rPr>
        <w:t>an be seen from Fig</w:t>
      </w:r>
      <w:r w:rsidR="004A2FCA">
        <w:rPr>
          <w:rFonts w:eastAsia="MS Mincho"/>
          <w:lang w:val="en-US" w:eastAsia="ja-JP"/>
        </w:rPr>
        <w:t>.</w:t>
      </w:r>
      <w:r w:rsidRPr="003019FF">
        <w:rPr>
          <w:rFonts w:eastAsia="MS Mincho"/>
          <w:lang w:val="en-US" w:eastAsia="ja-JP"/>
        </w:rPr>
        <w:t xml:space="preserve"> 6:</w:t>
      </w:r>
    </w:p>
    <w:p w14:paraId="0CF9749A" w14:textId="3369044B" w:rsidR="001C66EE" w:rsidRPr="001C66EE" w:rsidRDefault="007C17BA" w:rsidP="00A20818">
      <w:pPr>
        <w:pStyle w:val="ListParagraph"/>
        <w:numPr>
          <w:ilvl w:val="0"/>
          <w:numId w:val="48"/>
        </w:numPr>
        <w:spacing w:after="60"/>
        <w:rPr>
          <w:rFonts w:eastAsia="MS Mincho"/>
          <w:lang w:val="en-US" w:eastAsia="ja-JP"/>
        </w:rPr>
      </w:pPr>
      <w:r w:rsidRPr="003019FF">
        <w:rPr>
          <w:rFonts w:eastAsia="MS Mincho"/>
          <w:sz w:val="20"/>
          <w:lang w:val="en-US" w:eastAsia="ja-JP"/>
        </w:rPr>
        <w:t>gNB cannot be sure that UE receives UL grant. Hence</w:t>
      </w:r>
      <w:r w:rsidR="00A20818">
        <w:rPr>
          <w:rFonts w:eastAsia="MS Mincho"/>
          <w:sz w:val="20"/>
          <w:lang w:val="en-US" w:eastAsia="ja-JP"/>
        </w:rPr>
        <w:t xml:space="preserve"> it could</w:t>
      </w:r>
      <w:r w:rsidR="004A2FCA" w:rsidRPr="003019FF">
        <w:rPr>
          <w:rFonts w:eastAsia="MS Mincho"/>
          <w:sz w:val="20"/>
          <w:lang w:val="en-US" w:eastAsia="ja-JP"/>
        </w:rPr>
        <w:t xml:space="preserve"> use DAI to indicate joint coding for</w:t>
      </w:r>
      <w:r w:rsidRPr="003019FF">
        <w:rPr>
          <w:rFonts w:eastAsia="MS Mincho"/>
          <w:sz w:val="20"/>
          <w:lang w:val="en-US" w:eastAsia="ja-JP"/>
        </w:rPr>
        <w:t xml:space="preserve"> PDSCH slot and mini-</w:t>
      </w:r>
      <w:r w:rsidRPr="001C66EE">
        <w:rPr>
          <w:rFonts w:eastAsia="MS Mincho"/>
          <w:sz w:val="20"/>
          <w:lang w:val="en-US" w:eastAsia="ja-JP"/>
        </w:rPr>
        <w:t xml:space="preserve">slot #2 </w:t>
      </w:r>
      <w:r w:rsidR="00CE18DD" w:rsidRPr="001C66EE">
        <w:rPr>
          <w:rFonts w:eastAsia="MS Mincho"/>
          <w:sz w:val="20"/>
          <w:lang w:val="en-US" w:eastAsia="ja-JP"/>
        </w:rPr>
        <w:t>HARQ-ACK</w:t>
      </w:r>
      <w:r w:rsidR="004A2FCA" w:rsidRPr="001C66EE">
        <w:rPr>
          <w:rFonts w:eastAsia="MS Mincho"/>
          <w:sz w:val="20"/>
          <w:lang w:val="en-US" w:eastAsia="ja-JP"/>
        </w:rPr>
        <w:t xml:space="preserve"> </w:t>
      </w:r>
      <w:r w:rsidRPr="001C66EE">
        <w:rPr>
          <w:rFonts w:eastAsia="MS Mincho"/>
          <w:sz w:val="20"/>
          <w:lang w:val="en-US" w:eastAsia="ja-JP"/>
        </w:rPr>
        <w:t xml:space="preserve">as in case Figure 6a. </w:t>
      </w:r>
    </w:p>
    <w:p w14:paraId="45F13256" w14:textId="362A39D5" w:rsidR="004A2FCA" w:rsidRPr="001C66EE" w:rsidRDefault="004A2FCA" w:rsidP="00A20818">
      <w:pPr>
        <w:pStyle w:val="ListParagraph"/>
        <w:numPr>
          <w:ilvl w:val="0"/>
          <w:numId w:val="48"/>
        </w:numPr>
        <w:spacing w:after="60"/>
        <w:ind w:left="714" w:hanging="357"/>
        <w:jc w:val="both"/>
        <w:rPr>
          <w:rFonts w:eastAsia="MS Mincho"/>
          <w:sz w:val="20"/>
          <w:szCs w:val="20"/>
          <w:lang w:val="en-US" w:eastAsia="ja-JP"/>
        </w:rPr>
      </w:pPr>
      <w:r w:rsidRPr="001C66EE">
        <w:rPr>
          <w:rFonts w:eastAsia="MS Mincho"/>
          <w:sz w:val="20"/>
          <w:szCs w:val="20"/>
          <w:lang w:val="en-US" w:eastAsia="ja-JP"/>
        </w:rPr>
        <w:t>On other hand, if UE receives UL grant</w:t>
      </w:r>
      <w:r w:rsidR="00B82DD1" w:rsidRPr="001C66EE">
        <w:rPr>
          <w:rFonts w:eastAsia="MS Mincho"/>
          <w:sz w:val="20"/>
          <w:szCs w:val="20"/>
          <w:lang w:val="en-US" w:eastAsia="ja-JP"/>
        </w:rPr>
        <w:t>, UE will</w:t>
      </w:r>
      <w:r w:rsidRPr="001C66EE">
        <w:rPr>
          <w:rFonts w:eastAsia="MS Mincho"/>
          <w:sz w:val="20"/>
          <w:szCs w:val="20"/>
          <w:lang w:val="en-US" w:eastAsia="ja-JP"/>
        </w:rPr>
        <w:t xml:space="preserve"> jointly </w:t>
      </w:r>
      <w:r w:rsidR="00B82DD1" w:rsidRPr="001C66EE">
        <w:rPr>
          <w:rFonts w:eastAsia="MS Mincho"/>
          <w:sz w:val="20"/>
          <w:szCs w:val="20"/>
          <w:lang w:val="en-US" w:eastAsia="ja-JP"/>
        </w:rPr>
        <w:t>en</w:t>
      </w:r>
      <w:r w:rsidRPr="001C66EE">
        <w:rPr>
          <w:rFonts w:eastAsia="MS Mincho"/>
          <w:sz w:val="20"/>
          <w:szCs w:val="20"/>
          <w:lang w:val="en-US" w:eastAsia="ja-JP"/>
        </w:rPr>
        <w:t xml:space="preserve">code </w:t>
      </w:r>
      <w:r w:rsidR="00CE18DD" w:rsidRPr="001C66EE">
        <w:rPr>
          <w:rFonts w:eastAsia="MS Mincho"/>
          <w:sz w:val="20"/>
          <w:szCs w:val="20"/>
          <w:lang w:val="en-US" w:eastAsia="ja-JP"/>
        </w:rPr>
        <w:t>HARQ-ACK</w:t>
      </w:r>
      <w:r w:rsidRPr="001C66EE">
        <w:rPr>
          <w:rFonts w:eastAsia="MS Mincho"/>
          <w:sz w:val="20"/>
          <w:szCs w:val="20"/>
          <w:lang w:val="en-US" w:eastAsia="ja-JP"/>
        </w:rPr>
        <w:t xml:space="preserve"> for PDSCH slot and mini-slot #1 as in case Figure 6b. However, joint DAI covering </w:t>
      </w:r>
      <w:r w:rsidR="00B82DD1" w:rsidRPr="001C66EE">
        <w:rPr>
          <w:rFonts w:eastAsia="MS Mincho"/>
          <w:sz w:val="20"/>
          <w:szCs w:val="20"/>
          <w:lang w:val="en-US" w:eastAsia="ja-JP"/>
        </w:rPr>
        <w:t xml:space="preserve">PDSCH slot and </w:t>
      </w:r>
      <w:r w:rsidRPr="001C66EE">
        <w:rPr>
          <w:rFonts w:eastAsia="MS Mincho"/>
          <w:sz w:val="20"/>
          <w:szCs w:val="20"/>
          <w:lang w:val="en-US" w:eastAsia="ja-JP"/>
        </w:rPr>
        <w:t xml:space="preserve">mini-slot #2 does not ensure correct number of mini-slot </w:t>
      </w:r>
      <w:r w:rsidR="00CE18DD" w:rsidRPr="001C66EE">
        <w:rPr>
          <w:rFonts w:eastAsia="MS Mincho"/>
          <w:sz w:val="20"/>
          <w:szCs w:val="20"/>
          <w:lang w:val="en-US" w:eastAsia="ja-JP"/>
        </w:rPr>
        <w:t>HARQ-ACK</w:t>
      </w:r>
      <w:r w:rsidRPr="001C66EE">
        <w:rPr>
          <w:rFonts w:eastAsia="MS Mincho"/>
          <w:sz w:val="20"/>
          <w:szCs w:val="20"/>
          <w:lang w:val="en-US" w:eastAsia="ja-JP"/>
        </w:rPr>
        <w:t xml:space="preserve">s in this case. </w:t>
      </w:r>
    </w:p>
    <w:p w14:paraId="7C2D9E57" w14:textId="7346A97E" w:rsidR="005A5DB8" w:rsidRPr="003019FF" w:rsidRDefault="0038303D" w:rsidP="001C66EE">
      <w:pPr>
        <w:spacing w:after="120"/>
        <w:jc w:val="both"/>
        <w:rPr>
          <w:rFonts w:eastAsia="MS Mincho"/>
          <w:lang w:val="en-US" w:eastAsia="ja-JP"/>
        </w:rPr>
      </w:pPr>
      <w:r>
        <w:rPr>
          <w:lang w:val="en-US" w:eastAsia="ja-JP"/>
        </w:rPr>
        <w:t>Given these aspects,</w:t>
      </w:r>
      <w:r w:rsidR="004A2FCA">
        <w:rPr>
          <w:lang w:val="en-US" w:eastAsia="ja-JP"/>
        </w:rPr>
        <w:t xml:space="preserve"> we do not see joint DAI over slots and mini-slots (with different minimum UE processing time)</w:t>
      </w:r>
      <w:r w:rsidR="009E6291">
        <w:rPr>
          <w:lang w:val="en-US" w:eastAsia="ja-JP"/>
        </w:rPr>
        <w:t xml:space="preserve"> as an attractive solution.</w:t>
      </w:r>
    </w:p>
    <w:p w14:paraId="2450EE01" w14:textId="0128F2E6" w:rsidR="00091017" w:rsidRPr="001C66EE" w:rsidRDefault="004142CD" w:rsidP="00A20818">
      <w:pPr>
        <w:spacing w:after="60"/>
        <w:jc w:val="both"/>
        <w:rPr>
          <w:rFonts w:eastAsia="MS Mincho"/>
          <w:lang w:val="en-US" w:eastAsia="ja-JP"/>
        </w:rPr>
      </w:pPr>
      <w:r w:rsidRPr="0038303D">
        <w:rPr>
          <w:rFonts w:eastAsia="MS Mincho"/>
          <w:lang w:val="en-US" w:eastAsia="ja-JP"/>
        </w:rPr>
        <w:t xml:space="preserve">In </w:t>
      </w:r>
      <w:r w:rsidR="009E6291">
        <w:rPr>
          <w:rFonts w:eastAsia="MS Mincho"/>
          <w:lang w:val="en-US" w:eastAsia="ja-JP"/>
        </w:rPr>
        <w:t xml:space="preserve">the </w:t>
      </w:r>
      <w:r w:rsidRPr="0038303D">
        <w:rPr>
          <w:rFonts w:eastAsia="MS Mincho"/>
          <w:lang w:val="en-US" w:eastAsia="ja-JP"/>
        </w:rPr>
        <w:t>approach</w:t>
      </w:r>
      <w:r w:rsidR="009E6291">
        <w:rPr>
          <w:rFonts w:eastAsia="MS Mincho"/>
          <w:lang w:val="en-US" w:eastAsia="ja-JP"/>
        </w:rPr>
        <w:t xml:space="preserve"> where separate DAI processes are used to determine </w:t>
      </w:r>
      <w:r w:rsidR="00A20818">
        <w:rPr>
          <w:rFonts w:eastAsia="MS Mincho"/>
          <w:lang w:val="en-US" w:eastAsia="ja-JP"/>
        </w:rPr>
        <w:t xml:space="preserve">separate </w:t>
      </w:r>
      <w:r w:rsidR="006051AA">
        <w:rPr>
          <w:rFonts w:eastAsia="MS Mincho"/>
          <w:lang w:val="en-US" w:eastAsia="ja-JP"/>
        </w:rPr>
        <w:t>HARQ-ACK sub-codebooks</w:t>
      </w:r>
      <w:r w:rsidRPr="0038303D">
        <w:rPr>
          <w:rFonts w:eastAsia="MS Mincho"/>
          <w:lang w:val="en-US" w:eastAsia="ja-JP"/>
        </w:rPr>
        <w:t>, special attention</w:t>
      </w:r>
      <w:r w:rsidR="006051AA">
        <w:rPr>
          <w:rFonts w:eastAsia="MS Mincho"/>
          <w:lang w:val="en-US" w:eastAsia="ja-JP"/>
        </w:rPr>
        <w:t xml:space="preserve"> is needed</w:t>
      </w:r>
      <w:r w:rsidRPr="0038303D">
        <w:rPr>
          <w:rFonts w:eastAsia="MS Mincho"/>
          <w:lang w:val="en-US" w:eastAsia="ja-JP"/>
        </w:rPr>
        <w:t xml:space="preserve"> to the error case that can occur when </w:t>
      </w:r>
      <w:r w:rsidR="00EE7ACF">
        <w:rPr>
          <w:rFonts w:eastAsia="MS Mincho"/>
          <w:lang w:val="en-US" w:eastAsia="ja-JP"/>
        </w:rPr>
        <w:t xml:space="preserve">there is </w:t>
      </w:r>
      <w:r w:rsidRPr="0038303D">
        <w:rPr>
          <w:rFonts w:eastAsia="MS Mincho"/>
          <w:lang w:val="en-US" w:eastAsia="ja-JP"/>
        </w:rPr>
        <w:t xml:space="preserve">only one </w:t>
      </w:r>
      <w:r w:rsidR="006051AA">
        <w:rPr>
          <w:rFonts w:eastAsia="MS Mincho"/>
          <w:lang w:val="en-US" w:eastAsia="ja-JP"/>
        </w:rPr>
        <w:t xml:space="preserve">scheduled </w:t>
      </w:r>
      <w:r w:rsidRPr="0038303D">
        <w:rPr>
          <w:rFonts w:eastAsia="MS Mincho"/>
          <w:lang w:val="en-US" w:eastAsia="ja-JP"/>
        </w:rPr>
        <w:t>PDSC</w:t>
      </w:r>
      <w:r w:rsidR="00EE7ACF">
        <w:rPr>
          <w:rFonts w:eastAsia="MS Mincho"/>
          <w:lang w:val="en-US" w:eastAsia="ja-JP"/>
        </w:rPr>
        <w:t>H associated to a (e.g. mini-slot) sub-</w:t>
      </w:r>
      <w:r w:rsidR="00EE7ACF" w:rsidRPr="001C66EE">
        <w:rPr>
          <w:rFonts w:eastAsia="MS Mincho"/>
          <w:lang w:val="en-US" w:eastAsia="ja-JP"/>
        </w:rPr>
        <w:t>codebook</w:t>
      </w:r>
      <w:r w:rsidRPr="001C66EE">
        <w:rPr>
          <w:rFonts w:eastAsia="MS Mincho"/>
          <w:lang w:val="en-US" w:eastAsia="ja-JP"/>
        </w:rPr>
        <w:t xml:space="preserve">. If UE misses that DL </w:t>
      </w:r>
      <w:r w:rsidR="00310E89" w:rsidRPr="001C66EE">
        <w:rPr>
          <w:rFonts w:eastAsia="MS Mincho"/>
          <w:lang w:val="en-US" w:eastAsia="ja-JP"/>
        </w:rPr>
        <w:t>assignment</w:t>
      </w:r>
      <w:r w:rsidRPr="001C66EE">
        <w:rPr>
          <w:rFonts w:eastAsia="MS Mincho"/>
          <w:lang w:val="en-US" w:eastAsia="ja-JP"/>
        </w:rPr>
        <w:t xml:space="preserve">, </w:t>
      </w:r>
      <w:r w:rsidR="00310E89" w:rsidRPr="001C66EE">
        <w:rPr>
          <w:rFonts w:eastAsia="MS Mincho"/>
          <w:lang w:val="en-US" w:eastAsia="ja-JP"/>
        </w:rPr>
        <w:t>UE will</w:t>
      </w:r>
      <w:r w:rsidR="001812F9" w:rsidRPr="001C66EE">
        <w:rPr>
          <w:rFonts w:eastAsia="MS Mincho"/>
          <w:lang w:val="en-US" w:eastAsia="ja-JP"/>
        </w:rPr>
        <w:t xml:space="preserve"> not include the corresponding sub-codebook at all, leading to erroneous</w:t>
      </w:r>
      <w:r w:rsidR="00091017" w:rsidRPr="001C66EE">
        <w:rPr>
          <w:rFonts w:eastAsia="MS Mincho"/>
          <w:lang w:val="en-US" w:eastAsia="ja-JP"/>
        </w:rPr>
        <w:t xml:space="preserve"> HARQ-ACK ordering in the</w:t>
      </w:r>
      <w:r w:rsidR="001812F9" w:rsidRPr="001C66EE">
        <w:rPr>
          <w:rFonts w:eastAsia="MS Mincho"/>
          <w:lang w:val="en-US" w:eastAsia="ja-JP"/>
        </w:rPr>
        <w:t xml:space="preserve"> overall</w:t>
      </w:r>
      <w:r w:rsidRPr="001C66EE">
        <w:rPr>
          <w:rFonts w:eastAsia="MS Mincho"/>
          <w:lang w:val="en-US" w:eastAsia="ja-JP"/>
        </w:rPr>
        <w:t xml:space="preserve"> HARQ-ACK codebook. This error case can be simply solved e.g. by</w:t>
      </w:r>
    </w:p>
    <w:p w14:paraId="11036579" w14:textId="625C02F3" w:rsidR="001C66EE" w:rsidRPr="001C66EE" w:rsidRDefault="006B7B35" w:rsidP="00A20818">
      <w:pPr>
        <w:pStyle w:val="ListParagraph"/>
        <w:numPr>
          <w:ilvl w:val="0"/>
          <w:numId w:val="48"/>
        </w:numPr>
        <w:spacing w:after="60"/>
        <w:jc w:val="both"/>
        <w:rPr>
          <w:rFonts w:eastAsia="MS Mincho"/>
          <w:sz w:val="20"/>
          <w:szCs w:val="20"/>
          <w:lang w:val="en-US" w:eastAsia="ja-JP"/>
        </w:rPr>
      </w:pPr>
      <w:r w:rsidRPr="001C66EE">
        <w:rPr>
          <w:rFonts w:eastAsia="MS Mincho"/>
          <w:sz w:val="20"/>
          <w:szCs w:val="20"/>
          <w:lang w:val="en-US" w:eastAsia="ja-JP"/>
        </w:rPr>
        <w:t>O</w:t>
      </w:r>
      <w:r w:rsidR="00091017" w:rsidRPr="001C66EE">
        <w:rPr>
          <w:rFonts w:eastAsia="MS Mincho"/>
          <w:sz w:val="20"/>
          <w:szCs w:val="20"/>
          <w:lang w:val="en-US" w:eastAsia="ja-JP"/>
        </w:rPr>
        <w:t xml:space="preserve">ne bit on PDSCH slot DL assignment indicates whether gNB may possibly schedule PDSCH mini-slots with </w:t>
      </w:r>
      <w:r w:rsidR="00A20818">
        <w:rPr>
          <w:rFonts w:eastAsia="MS Mincho"/>
          <w:sz w:val="20"/>
          <w:szCs w:val="20"/>
          <w:lang w:val="en-US" w:eastAsia="ja-JP"/>
        </w:rPr>
        <w:t>HARQ-ACK reported on the same UCI</w:t>
      </w:r>
      <w:r w:rsidR="00091017" w:rsidRPr="001C66EE">
        <w:rPr>
          <w:rFonts w:eastAsia="MS Mincho"/>
          <w:sz w:val="20"/>
          <w:szCs w:val="20"/>
          <w:lang w:val="en-US" w:eastAsia="ja-JP"/>
        </w:rPr>
        <w:t xml:space="preserve"> transmission. The </w:t>
      </w:r>
      <w:r w:rsidR="00786EA1" w:rsidRPr="001C66EE">
        <w:rPr>
          <w:rFonts w:eastAsia="MS Mincho"/>
          <w:sz w:val="20"/>
          <w:szCs w:val="20"/>
          <w:lang w:val="en-US" w:eastAsia="ja-JP"/>
        </w:rPr>
        <w:t xml:space="preserve">indication does not need to based on actual / final </w:t>
      </w:r>
      <w:r w:rsidR="00091017" w:rsidRPr="001C66EE">
        <w:rPr>
          <w:rFonts w:eastAsia="MS Mincho"/>
          <w:sz w:val="20"/>
          <w:szCs w:val="20"/>
          <w:lang w:val="en-US" w:eastAsia="ja-JP"/>
        </w:rPr>
        <w:t>scheduling decision</w:t>
      </w:r>
      <w:r w:rsidR="00786EA1" w:rsidRPr="001C66EE">
        <w:rPr>
          <w:rFonts w:eastAsia="MS Mincho"/>
          <w:sz w:val="20"/>
          <w:szCs w:val="20"/>
          <w:lang w:val="en-US" w:eastAsia="ja-JP"/>
        </w:rPr>
        <w:t>s.</w:t>
      </w:r>
      <w:r w:rsidR="00091017" w:rsidRPr="001C66EE">
        <w:rPr>
          <w:rFonts w:eastAsia="MS Mincho"/>
          <w:sz w:val="20"/>
          <w:szCs w:val="20"/>
          <w:lang w:val="en-US" w:eastAsia="ja-JP"/>
        </w:rPr>
        <w:t xml:space="preserve">    </w:t>
      </w:r>
    </w:p>
    <w:p w14:paraId="418AB08E" w14:textId="64A7AEB3" w:rsidR="000803DB" w:rsidRPr="001C66EE" w:rsidRDefault="0085296E" w:rsidP="00A20818">
      <w:pPr>
        <w:pStyle w:val="ListParagraph"/>
        <w:numPr>
          <w:ilvl w:val="0"/>
          <w:numId w:val="48"/>
        </w:numPr>
        <w:spacing w:after="60"/>
        <w:jc w:val="both"/>
        <w:rPr>
          <w:rFonts w:eastAsia="MS Mincho"/>
          <w:sz w:val="20"/>
          <w:szCs w:val="20"/>
          <w:lang w:val="en-US" w:eastAsia="ja-JP"/>
        </w:rPr>
      </w:pPr>
      <w:r w:rsidRPr="001C66EE">
        <w:rPr>
          <w:rFonts w:eastAsia="MS Mincho"/>
          <w:sz w:val="20"/>
          <w:szCs w:val="20"/>
          <w:lang w:val="en-US" w:eastAsia="ja-JP"/>
        </w:rPr>
        <w:t>If the bit indicates possi</w:t>
      </w:r>
      <w:r w:rsidR="00A20818">
        <w:rPr>
          <w:rFonts w:eastAsia="MS Mincho"/>
          <w:sz w:val="20"/>
          <w:szCs w:val="20"/>
          <w:lang w:val="en-US" w:eastAsia="ja-JP"/>
        </w:rPr>
        <w:t>ble mini-slot scheduling</w:t>
      </w:r>
      <w:r w:rsidR="006B7B35" w:rsidRPr="001C66EE">
        <w:rPr>
          <w:rFonts w:eastAsia="MS Mincho"/>
          <w:sz w:val="20"/>
          <w:szCs w:val="20"/>
          <w:lang w:val="en-US" w:eastAsia="ja-JP"/>
        </w:rPr>
        <w:t xml:space="preserve">, UE </w:t>
      </w:r>
      <w:r w:rsidRPr="001C66EE">
        <w:rPr>
          <w:rFonts w:eastAsia="MS Mincho"/>
          <w:sz w:val="20"/>
          <w:szCs w:val="20"/>
          <w:lang w:val="en-US" w:eastAsia="ja-JP"/>
        </w:rPr>
        <w:t>includ</w:t>
      </w:r>
      <w:r w:rsidR="006B7B35" w:rsidRPr="001C66EE">
        <w:rPr>
          <w:rFonts w:eastAsia="MS Mincho"/>
          <w:sz w:val="20"/>
          <w:szCs w:val="20"/>
          <w:lang w:val="en-US" w:eastAsia="ja-JP"/>
        </w:rPr>
        <w:t>es</w:t>
      </w:r>
      <w:r w:rsidR="00091017" w:rsidRPr="001C66EE">
        <w:rPr>
          <w:rFonts w:eastAsia="MS Mincho"/>
          <w:sz w:val="20"/>
          <w:szCs w:val="20"/>
          <w:lang w:val="en-US" w:eastAsia="ja-JP"/>
        </w:rPr>
        <w:t xml:space="preserve"> a</w:t>
      </w:r>
      <w:r w:rsidR="006B7B35" w:rsidRPr="001C66EE">
        <w:rPr>
          <w:rFonts w:eastAsia="MS Mincho"/>
          <w:sz w:val="20"/>
          <w:szCs w:val="20"/>
          <w:lang w:val="en-US" w:eastAsia="ja-JP"/>
        </w:rPr>
        <w:t xml:space="preserve"> corresponding</w:t>
      </w:r>
      <w:r w:rsidR="004142CD" w:rsidRPr="001C66EE">
        <w:rPr>
          <w:rFonts w:eastAsia="MS Mincho"/>
          <w:sz w:val="20"/>
          <w:szCs w:val="20"/>
          <w:lang w:val="en-US" w:eastAsia="ja-JP"/>
        </w:rPr>
        <w:t xml:space="preserve"> </w:t>
      </w:r>
      <w:r w:rsidR="00091017" w:rsidRPr="001C66EE">
        <w:rPr>
          <w:sz w:val="20"/>
          <w:szCs w:val="20"/>
          <w:lang w:val="en-US" w:eastAsia="en-US"/>
        </w:rPr>
        <w:t>sub-</w:t>
      </w:r>
      <w:r w:rsidR="004142CD" w:rsidRPr="001C66EE">
        <w:rPr>
          <w:sz w:val="20"/>
          <w:szCs w:val="20"/>
          <w:lang w:val="en-US" w:eastAsia="en-US"/>
        </w:rPr>
        <w:t xml:space="preserve">codebook </w:t>
      </w:r>
      <w:r w:rsidRPr="001C66EE">
        <w:rPr>
          <w:sz w:val="20"/>
          <w:szCs w:val="20"/>
          <w:lang w:val="en-US" w:eastAsia="en-US"/>
        </w:rPr>
        <w:t xml:space="preserve">of at least minimum </w:t>
      </w:r>
      <w:r w:rsidR="004142CD" w:rsidRPr="001C66EE">
        <w:rPr>
          <w:sz w:val="20"/>
          <w:szCs w:val="20"/>
          <w:lang w:val="en-US" w:eastAsia="en-US"/>
        </w:rPr>
        <w:t>size</w:t>
      </w:r>
      <w:r w:rsidR="00091017" w:rsidRPr="001C66EE">
        <w:rPr>
          <w:sz w:val="20"/>
          <w:szCs w:val="20"/>
          <w:lang w:val="en-US" w:eastAsia="en-US"/>
        </w:rPr>
        <w:t xml:space="preserve"> </w:t>
      </w:r>
      <w:r w:rsidRPr="001C66EE">
        <w:rPr>
          <w:sz w:val="20"/>
          <w:szCs w:val="20"/>
          <w:lang w:val="en-US" w:eastAsia="en-US"/>
        </w:rPr>
        <w:t xml:space="preserve">(e.g. corresponding to 2 DL assignments) </w:t>
      </w:r>
      <w:r w:rsidR="000803DB" w:rsidRPr="001C66EE">
        <w:rPr>
          <w:sz w:val="20"/>
          <w:szCs w:val="20"/>
          <w:lang w:val="en-US" w:eastAsia="en-US"/>
        </w:rPr>
        <w:t xml:space="preserve">to the concatenated </w:t>
      </w:r>
      <w:r w:rsidR="00091017" w:rsidRPr="001C66EE">
        <w:rPr>
          <w:sz w:val="20"/>
          <w:szCs w:val="20"/>
          <w:lang w:val="en-US" w:eastAsia="en-US"/>
        </w:rPr>
        <w:t>codebook</w:t>
      </w:r>
      <w:r w:rsidR="000803DB" w:rsidRPr="001C66EE">
        <w:rPr>
          <w:sz w:val="20"/>
          <w:szCs w:val="20"/>
          <w:lang w:val="en-US" w:eastAsia="en-US"/>
        </w:rPr>
        <w:t xml:space="preserve"> – also when </w:t>
      </w:r>
      <w:r w:rsidR="00091017" w:rsidRPr="001C66EE">
        <w:rPr>
          <w:sz w:val="20"/>
          <w:szCs w:val="20"/>
          <w:lang w:val="en-US" w:eastAsia="en-US"/>
        </w:rPr>
        <w:t>UE does not detect even singl</w:t>
      </w:r>
      <w:r w:rsidR="000803DB" w:rsidRPr="001C66EE">
        <w:rPr>
          <w:sz w:val="20"/>
          <w:szCs w:val="20"/>
          <w:lang w:val="en-US" w:eastAsia="en-US"/>
        </w:rPr>
        <w:t>e DL assignment associated to the sub-codebook.</w:t>
      </w:r>
    </w:p>
    <w:p w14:paraId="7C8BD24E" w14:textId="06410A93" w:rsidR="0085296E" w:rsidRPr="003019FF" w:rsidRDefault="000803DB" w:rsidP="007C09CA">
      <w:pPr>
        <w:pStyle w:val="ListParagraph"/>
        <w:numPr>
          <w:ilvl w:val="0"/>
          <w:numId w:val="48"/>
        </w:numPr>
        <w:spacing w:after="180"/>
        <w:ind w:left="714" w:hanging="357"/>
        <w:jc w:val="both"/>
        <w:rPr>
          <w:lang w:val="en-US"/>
        </w:rPr>
      </w:pPr>
      <w:r w:rsidRPr="003019FF">
        <w:rPr>
          <w:sz w:val="20"/>
          <w:szCs w:val="20"/>
          <w:lang w:val="en-US"/>
        </w:rPr>
        <w:t>The same mechanism can be applied also for sub-codebook for PDSCH slots</w:t>
      </w:r>
      <w:r w:rsidR="00A20818">
        <w:rPr>
          <w:sz w:val="20"/>
          <w:szCs w:val="20"/>
          <w:lang w:val="en-US"/>
        </w:rPr>
        <w:t xml:space="preserve"> when only mini-slots are scheduled</w:t>
      </w:r>
      <w:r w:rsidRPr="003019FF">
        <w:rPr>
          <w:sz w:val="20"/>
          <w:szCs w:val="20"/>
          <w:lang w:val="en-US"/>
        </w:rPr>
        <w:t>.</w:t>
      </w:r>
    </w:p>
    <w:p w14:paraId="1287FA40" w14:textId="29318CC3" w:rsidR="005C148B" w:rsidRDefault="004142CD" w:rsidP="001C66EE">
      <w:pPr>
        <w:spacing w:after="240"/>
        <w:ind w:left="992" w:hanging="992"/>
        <w:rPr>
          <w:bCs/>
          <w:i/>
          <w:iCs/>
        </w:rPr>
      </w:pPr>
      <w:r w:rsidRPr="0038303D">
        <w:rPr>
          <w:b/>
          <w:bCs/>
          <w:i/>
          <w:iCs/>
        </w:rPr>
        <w:t>Proposal #</w:t>
      </w:r>
      <w:r w:rsidR="00C42656">
        <w:rPr>
          <w:b/>
          <w:bCs/>
          <w:i/>
          <w:iCs/>
        </w:rPr>
        <w:t>10</w:t>
      </w:r>
      <w:r w:rsidRPr="0038303D">
        <w:rPr>
          <w:b/>
          <w:bCs/>
          <w:i/>
          <w:iCs/>
        </w:rPr>
        <w:t xml:space="preserve">: </w:t>
      </w:r>
      <w:r w:rsidRPr="003019FF">
        <w:rPr>
          <w:bCs/>
          <w:i/>
          <w:iCs/>
        </w:rPr>
        <w:t>DL association set and HARQ-ACK codebook size are determined separately for DL slots and mini-slots</w:t>
      </w:r>
      <w:r w:rsidR="0085296E">
        <w:rPr>
          <w:bCs/>
          <w:i/>
          <w:iCs/>
        </w:rPr>
        <w:t xml:space="preserve"> in the case of dynamic </w:t>
      </w:r>
      <w:r w:rsidR="0085296E" w:rsidRPr="00B94AAD">
        <w:rPr>
          <w:bCs/>
          <w:i/>
          <w:iCs/>
        </w:rPr>
        <w:t>DL association set and HARQ-ACK codebook size</w:t>
      </w:r>
      <w:r w:rsidR="0085296E">
        <w:rPr>
          <w:bCs/>
          <w:i/>
          <w:iCs/>
        </w:rPr>
        <w:t xml:space="preserve"> determination, respectively</w:t>
      </w:r>
      <w:r w:rsidRPr="003019FF">
        <w:rPr>
          <w:bCs/>
          <w:i/>
          <w:iCs/>
        </w:rPr>
        <w:t>.</w:t>
      </w:r>
    </w:p>
    <w:p w14:paraId="38AF7071" w14:textId="77777777" w:rsidR="005C148B" w:rsidRDefault="005C148B" w:rsidP="001C66EE">
      <w:pPr>
        <w:spacing w:after="240"/>
        <w:ind w:left="992" w:hanging="992"/>
        <w:rPr>
          <w:b/>
          <w:bCs/>
          <w:i/>
          <w:iCs/>
        </w:rPr>
      </w:pPr>
    </w:p>
    <w:p w14:paraId="064620E1" w14:textId="05982426" w:rsidR="004142CD" w:rsidRPr="003019FF" w:rsidRDefault="004142CD" w:rsidP="001C66EE">
      <w:pPr>
        <w:spacing w:after="240"/>
        <w:ind w:left="992" w:hanging="992"/>
        <w:rPr>
          <w:b/>
          <w:bCs/>
          <w:i/>
          <w:iCs/>
        </w:rPr>
      </w:pPr>
      <w:r w:rsidRPr="0038303D">
        <w:rPr>
          <w:b/>
          <w:bCs/>
          <w:i/>
          <w:iCs/>
        </w:rPr>
        <w:t xml:space="preserve"> </w:t>
      </w:r>
    </w:p>
    <w:p w14:paraId="41B2D60F" w14:textId="2DADB382" w:rsidR="00735F5D" w:rsidRPr="0038303D" w:rsidRDefault="00735F5D" w:rsidP="003019FF">
      <w:pPr>
        <w:pStyle w:val="Heading2"/>
      </w:pPr>
      <w:r w:rsidRPr="0038303D">
        <w:lastRenderedPageBreak/>
        <w:t>3.2 HARQ-ACK bundling</w:t>
      </w:r>
    </w:p>
    <w:p w14:paraId="4B681302" w14:textId="07BEE70F" w:rsidR="004142CD" w:rsidRPr="0038303D" w:rsidRDefault="004142CD" w:rsidP="001C66EE">
      <w:pPr>
        <w:spacing w:after="120"/>
        <w:jc w:val="both"/>
        <w:rPr>
          <w:bCs/>
        </w:rPr>
      </w:pPr>
      <w:r w:rsidRPr="0038303D">
        <w:t xml:space="preserve">There are situations where it is attractive to compress HARQ feedback even at the price of somewhat degraded DL throughput, for example, when UL is coverage limited or when UCI size temporarily exceeds the reliable capacity of allocated PUCCH resource. In LTE, HARQ-ACK bundling, that is, performing logical AND over a set of ACK bits, is used to compress HARQ feedback when needed. We see that HARQ-ACK bundling can be supported also in NR. </w:t>
      </w:r>
    </w:p>
    <w:p w14:paraId="72AE0133" w14:textId="0333AAE2" w:rsidR="004142CD" w:rsidRDefault="004142CD" w:rsidP="001C66EE">
      <w:pPr>
        <w:spacing w:after="120"/>
        <w:jc w:val="both"/>
        <w:rPr>
          <w:bCs/>
        </w:rPr>
      </w:pPr>
      <w:r w:rsidRPr="0038303D">
        <w:t>The HARQ-ACK bundling can be done across CBGs, across TBs, across slots that reported in the same HARQ feedback, or across component carriers in frequency domain. Any HARQ-ACK bundling will degrade DL throughput, but the amount of degradation depends on the type of bundling. DL throughput loss</w:t>
      </w:r>
      <w:r w:rsidRPr="003252A4">
        <w:t xml:space="preserve"> can be expected to remain within acceptable boundaries for HARQ-ACK b</w:t>
      </w:r>
      <w:r w:rsidRPr="00CA1F91">
        <w:t xml:space="preserve">undling across CBGs or across TBs, while a larger loss can be expected for HARQ-ACK bundling across slots due to interference variations between slots. </w:t>
      </w:r>
    </w:p>
    <w:p w14:paraId="1870FAB0" w14:textId="77777777" w:rsidR="004142CD" w:rsidRDefault="004142CD" w:rsidP="001C66EE">
      <w:pPr>
        <w:spacing w:after="0"/>
        <w:jc w:val="both"/>
        <w:rPr>
          <w:bCs/>
        </w:rPr>
      </w:pPr>
      <w:r w:rsidRPr="003252A4">
        <w:t>We see that any HARQ-ACK bundling should be enabled/disabled by higher layer signalling. However, the HARQ-ACK bundling, once enabled, can be applied either semi-statically or dynamically</w:t>
      </w:r>
      <w:r w:rsidRPr="00CA1F91">
        <w:t>:</w:t>
      </w:r>
    </w:p>
    <w:p w14:paraId="414E00D6" w14:textId="77777777" w:rsidR="004142CD" w:rsidRPr="003019FF" w:rsidRDefault="004142CD" w:rsidP="001C66EE">
      <w:pPr>
        <w:pStyle w:val="ListParagraph"/>
        <w:numPr>
          <w:ilvl w:val="0"/>
          <w:numId w:val="36"/>
        </w:numPr>
        <w:spacing w:line="256" w:lineRule="auto"/>
        <w:jc w:val="both"/>
        <w:rPr>
          <w:sz w:val="20"/>
          <w:szCs w:val="20"/>
          <w:lang w:val="en-US"/>
        </w:rPr>
      </w:pPr>
      <w:r w:rsidRPr="003252A4">
        <w:rPr>
          <w:sz w:val="20"/>
          <w:szCs w:val="20"/>
          <w:lang w:val="en-US"/>
        </w:rPr>
        <w:t xml:space="preserve">HARQ-ACK bundling across TBs can be used semi-statically to compress HARQ feedback. However, there is no point to semi-statically apply HARQ-ACK bundling across CBGs, as CBG operation itself could be disabled. </w:t>
      </w:r>
    </w:p>
    <w:p w14:paraId="6882F5D8" w14:textId="6F6C6026" w:rsidR="004142CD" w:rsidRPr="003019FF" w:rsidRDefault="004142CD" w:rsidP="001C66EE">
      <w:pPr>
        <w:pStyle w:val="ListParagraph"/>
        <w:numPr>
          <w:ilvl w:val="0"/>
          <w:numId w:val="36"/>
        </w:numPr>
        <w:spacing w:after="120" w:line="257" w:lineRule="auto"/>
        <w:ind w:left="714" w:hanging="357"/>
        <w:jc w:val="both"/>
        <w:rPr>
          <w:sz w:val="20"/>
          <w:szCs w:val="20"/>
          <w:lang w:val="en-US"/>
        </w:rPr>
      </w:pPr>
      <w:r w:rsidRPr="003252A4">
        <w:rPr>
          <w:sz w:val="20"/>
          <w:szCs w:val="20"/>
          <w:lang w:val="en-US"/>
        </w:rPr>
        <w:t>In addition to semi-static compression of HARQ feedback, HARQ-ACK bundling can also be applied temporarily when overall UCI size exceeds the reliable capacity of the allocated PUCCH resource, determined e.g. as RRC configured maximum code rate for UCI. Such situation can occur e.g. with CA and dyna</w:t>
      </w:r>
      <w:r w:rsidRPr="00CA1F91">
        <w:rPr>
          <w:sz w:val="20"/>
          <w:szCs w:val="20"/>
          <w:lang w:val="en-US"/>
        </w:rPr>
        <w:t>mic HARQ codebook determination, but it should occur only infrequently.</w:t>
      </w:r>
      <w:r w:rsidR="00E72C48">
        <w:rPr>
          <w:sz w:val="20"/>
          <w:szCs w:val="20"/>
          <w:lang w:val="en-US"/>
        </w:rPr>
        <w:t xml:space="preserve"> </w:t>
      </w:r>
      <w:r w:rsidR="00295C46">
        <w:rPr>
          <w:sz w:val="20"/>
          <w:szCs w:val="20"/>
          <w:lang w:val="en-US"/>
        </w:rPr>
        <w:t>HARQ-ACK bundling across CBGs is reasonable option for such temporal HARQ feedback compression.</w:t>
      </w:r>
    </w:p>
    <w:p w14:paraId="031E5316" w14:textId="632D405C" w:rsidR="004142CD" w:rsidRPr="003019FF" w:rsidRDefault="004142CD" w:rsidP="001C66EE">
      <w:pPr>
        <w:jc w:val="both"/>
        <w:rPr>
          <w:sz w:val="22"/>
          <w:szCs w:val="22"/>
        </w:rPr>
      </w:pPr>
      <w:r w:rsidRPr="003252A4">
        <w:t xml:space="preserve">Based on discussion, we propose that HARQ-ACK bundling is supported across CBGs and TBs. </w:t>
      </w:r>
    </w:p>
    <w:p w14:paraId="3D6630E2" w14:textId="5A0AF7F1" w:rsidR="004142CD" w:rsidRPr="003019FF" w:rsidRDefault="004142CD" w:rsidP="001C66EE">
      <w:pPr>
        <w:jc w:val="both"/>
        <w:rPr>
          <w:bCs/>
        </w:rPr>
      </w:pPr>
      <w:r w:rsidRPr="003252A4">
        <w:rPr>
          <w:b/>
          <w:bCs/>
          <w:i/>
          <w:iCs/>
        </w:rPr>
        <w:t>Proposal #</w:t>
      </w:r>
      <w:r w:rsidR="00362017">
        <w:rPr>
          <w:b/>
          <w:bCs/>
          <w:i/>
          <w:iCs/>
        </w:rPr>
        <w:t>1</w:t>
      </w:r>
      <w:r w:rsidR="00C42656">
        <w:rPr>
          <w:b/>
          <w:bCs/>
          <w:i/>
          <w:iCs/>
        </w:rPr>
        <w:t>1</w:t>
      </w:r>
      <w:r w:rsidRPr="003252A4">
        <w:rPr>
          <w:b/>
          <w:bCs/>
          <w:i/>
          <w:iCs/>
        </w:rPr>
        <w:t xml:space="preserve">: </w:t>
      </w:r>
      <w:r w:rsidRPr="003019FF">
        <w:rPr>
          <w:bCs/>
          <w:i/>
          <w:iCs/>
        </w:rPr>
        <w:t xml:space="preserve">HARQ-ACK bundling is supported at least across CBGs and across TBs. </w:t>
      </w:r>
    </w:p>
    <w:p w14:paraId="3FB7BE02" w14:textId="71D6AF51" w:rsidR="00417285" w:rsidRPr="003019FF" w:rsidRDefault="004142CD" w:rsidP="001C66EE">
      <w:pPr>
        <w:spacing w:after="0"/>
        <w:ind w:left="992" w:hanging="992"/>
        <w:rPr>
          <w:bCs/>
          <w:i/>
          <w:iCs/>
        </w:rPr>
      </w:pPr>
      <w:r w:rsidRPr="003252A4">
        <w:rPr>
          <w:b/>
          <w:bCs/>
          <w:i/>
          <w:iCs/>
        </w:rPr>
        <w:t>Proposal #</w:t>
      </w:r>
      <w:r w:rsidR="00362017">
        <w:rPr>
          <w:b/>
          <w:bCs/>
          <w:i/>
          <w:iCs/>
        </w:rPr>
        <w:t>1</w:t>
      </w:r>
      <w:r w:rsidR="00C42656">
        <w:rPr>
          <w:b/>
          <w:bCs/>
          <w:i/>
          <w:iCs/>
        </w:rPr>
        <w:t>2</w:t>
      </w:r>
      <w:r w:rsidRPr="003252A4">
        <w:rPr>
          <w:b/>
          <w:bCs/>
          <w:i/>
          <w:iCs/>
        </w:rPr>
        <w:t xml:space="preserve">: </w:t>
      </w:r>
      <w:r w:rsidRPr="003019FF">
        <w:rPr>
          <w:bCs/>
          <w:i/>
          <w:iCs/>
        </w:rPr>
        <w:t xml:space="preserve">HARQ-ACK bundling is semi-statically enabled/disabled via higher layer signalling. </w:t>
      </w:r>
    </w:p>
    <w:p w14:paraId="167A4EE1" w14:textId="04F7E3A7" w:rsidR="00735F5D" w:rsidRPr="002A6B09" w:rsidRDefault="00735F5D" w:rsidP="003019FF">
      <w:pPr>
        <w:pStyle w:val="ListParagraph"/>
        <w:numPr>
          <w:ilvl w:val="0"/>
          <w:numId w:val="43"/>
        </w:numPr>
        <w:rPr>
          <w:bCs/>
          <w:i/>
          <w:iCs/>
          <w:lang w:val="en-US"/>
        </w:rPr>
      </w:pPr>
      <w:r w:rsidRPr="003019FF">
        <w:rPr>
          <w:i/>
          <w:sz w:val="20"/>
          <w:lang w:val="en-US"/>
        </w:rPr>
        <w:t>HARQ-ACK bundling</w:t>
      </w:r>
      <w:r w:rsidR="00295C46">
        <w:rPr>
          <w:i/>
          <w:sz w:val="20"/>
          <w:lang w:val="en-US"/>
        </w:rPr>
        <w:t xml:space="preserve"> across TBs</w:t>
      </w:r>
      <w:r w:rsidRPr="003019FF">
        <w:rPr>
          <w:i/>
          <w:sz w:val="20"/>
          <w:lang w:val="en-US"/>
        </w:rPr>
        <w:t xml:space="preserve"> may be applied either semi-statically or dynamically.</w:t>
      </w:r>
    </w:p>
    <w:p w14:paraId="52419641" w14:textId="4E02032A" w:rsidR="00295C46" w:rsidRPr="003019FF" w:rsidRDefault="00295C46" w:rsidP="003019FF">
      <w:pPr>
        <w:pStyle w:val="ListParagraph"/>
        <w:numPr>
          <w:ilvl w:val="0"/>
          <w:numId w:val="43"/>
        </w:numPr>
        <w:rPr>
          <w:bCs/>
          <w:i/>
          <w:iCs/>
          <w:lang w:val="en-US"/>
        </w:rPr>
      </w:pPr>
      <w:r>
        <w:rPr>
          <w:i/>
          <w:sz w:val="20"/>
          <w:lang w:val="en-US"/>
        </w:rPr>
        <w:t xml:space="preserve">HARQ-ACK bundling </w:t>
      </w:r>
      <w:r w:rsidR="00D05B63">
        <w:rPr>
          <w:i/>
          <w:sz w:val="20"/>
          <w:lang w:val="en-US"/>
        </w:rPr>
        <w:t xml:space="preserve">across CBGs may be applied </w:t>
      </w:r>
      <w:r>
        <w:rPr>
          <w:i/>
          <w:sz w:val="20"/>
          <w:lang w:val="en-US"/>
        </w:rPr>
        <w:t>dynamically.</w:t>
      </w:r>
    </w:p>
    <w:p w14:paraId="14BA982A" w14:textId="4FEAB071" w:rsidR="00251EAE" w:rsidRPr="00251EAE" w:rsidRDefault="00251EAE" w:rsidP="00251EAE">
      <w:pPr>
        <w:pStyle w:val="Heading1"/>
      </w:pPr>
      <w:r>
        <w:rPr>
          <w:color w:val="000000"/>
        </w:rPr>
        <w:t>4  N</w:t>
      </w:r>
      <w:r>
        <w:t>umber of HARQ processes</w:t>
      </w:r>
    </w:p>
    <w:p w14:paraId="3E4D5FEB" w14:textId="49166C82" w:rsidR="00845215" w:rsidRDefault="00251EAE" w:rsidP="001C66EE">
      <w:pPr>
        <w:spacing w:after="120"/>
        <w:jc w:val="both"/>
        <w:rPr>
          <w:bCs/>
        </w:rPr>
      </w:pPr>
      <w:r w:rsidRPr="003252A4">
        <w:t>In this section we discuss</w:t>
      </w:r>
      <w:r w:rsidR="00845215" w:rsidRPr="003252A4">
        <w:t xml:space="preserve"> the number of HARQ processes</w:t>
      </w:r>
      <w:r w:rsidR="003D2A84" w:rsidRPr="003252A4">
        <w:t xml:space="preserve"> to be supported by the specification</w:t>
      </w:r>
      <w:r w:rsidR="00845215" w:rsidRPr="003252A4">
        <w:t>. The following agreements have been made in RAN1#89</w:t>
      </w:r>
      <w:r w:rsidR="00FA0931">
        <w:t xml:space="preserve"> [5]:</w:t>
      </w:r>
    </w:p>
    <w:p w14:paraId="39A3331B" w14:textId="77777777" w:rsidR="00845215" w:rsidRPr="003019FF" w:rsidRDefault="00845215" w:rsidP="003019FF">
      <w:pPr>
        <w:spacing w:after="0"/>
        <w:rPr>
          <w:rFonts w:eastAsia="MS Mincho"/>
          <w:b/>
          <w:bCs/>
          <w:highlight w:val="yellow"/>
          <w:u w:val="single"/>
          <w:lang w:eastAsia="ja-JP"/>
        </w:rPr>
      </w:pPr>
      <w:r w:rsidRPr="003252A4">
        <w:rPr>
          <w:rFonts w:eastAsia="MS Mincho"/>
          <w:b/>
          <w:bCs/>
          <w:highlight w:val="green"/>
          <w:u w:val="single"/>
          <w:lang w:eastAsia="ja-JP"/>
        </w:rPr>
        <w:t>Agreements:</w:t>
      </w:r>
      <w:r w:rsidRPr="003252A4">
        <w:rPr>
          <w:rFonts w:eastAsia="MS Mincho"/>
          <w:sz w:val="18"/>
          <w:szCs w:val="18"/>
          <w:lang w:val="en-US" w:eastAsia="ja-JP"/>
        </w:rPr>
        <w:t xml:space="preserve"> (RAN1 #89)</w:t>
      </w:r>
    </w:p>
    <w:p w14:paraId="44EC5E1D" w14:textId="77777777" w:rsidR="00845215" w:rsidRPr="003019FF" w:rsidRDefault="00845215" w:rsidP="003019FF">
      <w:pPr>
        <w:numPr>
          <w:ilvl w:val="0"/>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eastAsia="ja-JP"/>
        </w:rPr>
        <w:t>A</w:t>
      </w:r>
      <w:r w:rsidRPr="003252A4">
        <w:rPr>
          <w:rFonts w:eastAsia="MS Mincho"/>
          <w:i/>
          <w:iCs/>
          <w:sz w:val="18"/>
          <w:szCs w:val="18"/>
          <w:lang w:val="en-US" w:eastAsia="ja-JP"/>
        </w:rPr>
        <w:t xml:space="preserve"> set of reference parameters is used for the purpose of soft buffer dimensioning</w:t>
      </w:r>
    </w:p>
    <w:p w14:paraId="3AE34711" w14:textId="77777777" w:rsidR="00845215" w:rsidRPr="003019FF" w:rsidRDefault="00845215" w:rsidP="003019FF">
      <w:pPr>
        <w:numPr>
          <w:ilvl w:val="1"/>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 xml:space="preserve">A reference set of parameters includes at least DL HARQ RTT [Y ms] and data rate(s) of X Gbps </w:t>
      </w:r>
    </w:p>
    <w:p w14:paraId="3C2A2A6C" w14:textId="77777777" w:rsidR="00845215" w:rsidRPr="003019FF" w:rsidRDefault="00845215" w:rsidP="003019FF">
      <w:pPr>
        <w:numPr>
          <w:ilvl w:val="1"/>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FFS: values of X and Y</w:t>
      </w:r>
    </w:p>
    <w:p w14:paraId="38AA4382" w14:textId="77777777" w:rsidR="00845215" w:rsidRPr="003019FF" w:rsidRDefault="00845215" w:rsidP="003019FF">
      <w:pPr>
        <w:numPr>
          <w:ilvl w:val="1"/>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FFS: other conditions</w:t>
      </w:r>
    </w:p>
    <w:p w14:paraId="76EC96A2" w14:textId="77777777" w:rsidR="00845215" w:rsidRPr="003019FF" w:rsidRDefault="00845215" w:rsidP="003019FF">
      <w:pPr>
        <w:numPr>
          <w:ilvl w:val="1"/>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This does not imply UE has to have a HARQ-ACK timing based on the reference HARQ RTT</w:t>
      </w:r>
    </w:p>
    <w:p w14:paraId="6D5BBED5" w14:textId="77777777" w:rsidR="00845215" w:rsidRPr="003019FF" w:rsidRDefault="00845215" w:rsidP="003019FF">
      <w:pPr>
        <w:numPr>
          <w:ilvl w:val="1"/>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FFS: how different UE categories are defined</w:t>
      </w:r>
    </w:p>
    <w:p w14:paraId="73B4E67D" w14:textId="77777777" w:rsidR="00845215" w:rsidRPr="003019FF" w:rsidRDefault="00845215" w:rsidP="003019FF">
      <w:pPr>
        <w:numPr>
          <w:ilvl w:val="1"/>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LBRM is taken into account</w:t>
      </w:r>
    </w:p>
    <w:p w14:paraId="7DFB4603" w14:textId="77777777" w:rsidR="00845215" w:rsidRPr="003019FF" w:rsidRDefault="00845215" w:rsidP="003019FF">
      <w:pPr>
        <w:numPr>
          <w:ilvl w:val="0"/>
          <w:numId w:val="30"/>
        </w:numPr>
        <w:overflowPunct/>
        <w:autoSpaceDE/>
        <w:autoSpaceDN/>
        <w:adjustRightInd/>
        <w:spacing w:after="0"/>
        <w:textAlignment w:val="auto"/>
        <w:rPr>
          <w:rFonts w:eastAsia="MS Mincho"/>
          <w:i/>
          <w:iCs/>
          <w:color w:val="FF0000"/>
          <w:sz w:val="18"/>
          <w:szCs w:val="18"/>
          <w:lang w:val="en-US" w:eastAsia="ja-JP"/>
        </w:rPr>
      </w:pPr>
      <w:r w:rsidRPr="003252A4">
        <w:rPr>
          <w:rFonts w:eastAsia="MS Mincho"/>
          <w:i/>
          <w:iCs/>
          <w:color w:val="FF0000"/>
          <w:sz w:val="18"/>
          <w:szCs w:val="18"/>
          <w:lang w:val="en-US" w:eastAsia="ja-JP"/>
        </w:rPr>
        <w:t xml:space="preserve">Maximum number of HARQ processes per carrier supported in NR is 8 or 16 </w:t>
      </w:r>
    </w:p>
    <w:p w14:paraId="2BB9E3FE" w14:textId="77777777" w:rsidR="00845215" w:rsidRPr="003019FF" w:rsidRDefault="00845215" w:rsidP="003019FF">
      <w:pPr>
        <w:numPr>
          <w:ilvl w:val="1"/>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This is at least for the single numerology case and a slot-level scheduling and single-TRxP transmission</w:t>
      </w:r>
    </w:p>
    <w:p w14:paraId="156C4757" w14:textId="77777777" w:rsidR="00845215" w:rsidRPr="003019FF" w:rsidRDefault="00845215" w:rsidP="003019FF">
      <w:pPr>
        <w:numPr>
          <w:ilvl w:val="1"/>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FFS: down-selection of 8 or 16</w:t>
      </w:r>
    </w:p>
    <w:p w14:paraId="75F993B1" w14:textId="77777777" w:rsidR="00845215" w:rsidRPr="003019FF" w:rsidRDefault="00845215" w:rsidP="003019FF">
      <w:pPr>
        <w:numPr>
          <w:ilvl w:val="1"/>
          <w:numId w:val="30"/>
        </w:numPr>
        <w:overflowPunct/>
        <w:autoSpaceDE/>
        <w:autoSpaceDN/>
        <w:adjustRightInd/>
        <w:spacing w:after="0"/>
        <w:ind w:left="1434" w:hanging="357"/>
        <w:textAlignment w:val="auto"/>
        <w:rPr>
          <w:rFonts w:eastAsia="MS Mincho"/>
          <w:i/>
          <w:iCs/>
          <w:sz w:val="18"/>
          <w:szCs w:val="18"/>
          <w:lang w:val="en-US" w:eastAsia="ja-JP"/>
        </w:rPr>
      </w:pPr>
      <w:r w:rsidRPr="003252A4">
        <w:rPr>
          <w:rFonts w:eastAsia="MS Mincho"/>
          <w:i/>
          <w:iCs/>
          <w:sz w:val="18"/>
          <w:szCs w:val="18"/>
          <w:lang w:val="en-US" w:eastAsia="ja-JP"/>
        </w:rPr>
        <w:t>FFS: soft-buffer handling</w:t>
      </w:r>
    </w:p>
    <w:p w14:paraId="6047D1ED" w14:textId="018CBE83" w:rsidR="00845215" w:rsidRPr="003019FF" w:rsidRDefault="00845215" w:rsidP="003019FF">
      <w:pPr>
        <w:numPr>
          <w:ilvl w:val="1"/>
          <w:numId w:val="30"/>
        </w:numPr>
        <w:overflowPunct/>
        <w:autoSpaceDE/>
        <w:autoSpaceDN/>
        <w:adjustRightInd/>
        <w:spacing w:after="240"/>
        <w:ind w:left="1434" w:hanging="357"/>
        <w:textAlignment w:val="auto"/>
        <w:rPr>
          <w:rFonts w:eastAsia="MS Mincho"/>
          <w:i/>
          <w:iCs/>
          <w:sz w:val="18"/>
          <w:szCs w:val="18"/>
          <w:lang w:val="en-US" w:eastAsia="ja-JP"/>
        </w:rPr>
      </w:pPr>
      <w:r w:rsidRPr="003252A4">
        <w:rPr>
          <w:rFonts w:eastAsia="MS Mincho"/>
          <w:i/>
          <w:iCs/>
          <w:sz w:val="18"/>
          <w:szCs w:val="18"/>
          <w:lang w:val="en-US" w:eastAsia="ja-JP"/>
        </w:rPr>
        <w:t xml:space="preserve">FFS: the value may be different depending on a certain condition (e.g., subcarrier spacing) </w:t>
      </w:r>
    </w:p>
    <w:p w14:paraId="5E717CC0" w14:textId="06432A79" w:rsidR="005839FF" w:rsidRPr="003019FF" w:rsidRDefault="00251EAE">
      <w:pPr>
        <w:pStyle w:val="Heading2"/>
        <w:rPr>
          <w:sz w:val="28"/>
          <w:szCs w:val="28"/>
          <w:lang w:eastAsia="zh-CN"/>
        </w:rPr>
      </w:pPr>
      <w:r w:rsidRPr="003252A4">
        <w:rPr>
          <w:sz w:val="28"/>
          <w:szCs w:val="28"/>
          <w:lang w:eastAsia="zh-CN"/>
        </w:rPr>
        <w:t xml:space="preserve">4.1  </w:t>
      </w:r>
      <w:r w:rsidR="0011705B" w:rsidRPr="003252A4">
        <w:rPr>
          <w:sz w:val="28"/>
          <w:szCs w:val="28"/>
          <w:lang w:eastAsia="zh-CN"/>
        </w:rPr>
        <w:t>Maximum n</w:t>
      </w:r>
      <w:r w:rsidR="005839FF" w:rsidRPr="003252A4">
        <w:rPr>
          <w:sz w:val="28"/>
          <w:szCs w:val="28"/>
          <w:lang w:eastAsia="zh-CN"/>
        </w:rPr>
        <w:t>umber of HARQ processes</w:t>
      </w:r>
    </w:p>
    <w:p w14:paraId="0D3E18DF" w14:textId="5C12E523" w:rsidR="008E1475" w:rsidRDefault="00DC413A" w:rsidP="00DC413A">
      <w:pPr>
        <w:spacing w:after="120"/>
        <w:jc w:val="both"/>
        <w:rPr>
          <w:rFonts w:eastAsia="MS Mincho"/>
          <w:lang w:eastAsia="ja-JP"/>
        </w:rPr>
      </w:pPr>
      <w:r>
        <w:rPr>
          <w:rFonts w:eastAsia="MS Mincho"/>
          <w:lang w:eastAsia="ja-JP"/>
        </w:rPr>
        <w:t>In T</w:t>
      </w:r>
      <w:r w:rsidR="00BE7D45">
        <w:rPr>
          <w:rFonts w:eastAsia="MS Mincho"/>
          <w:lang w:eastAsia="ja-JP"/>
        </w:rPr>
        <w:t xml:space="preserve">able 1 </w:t>
      </w:r>
      <w:r w:rsidR="00A861D7">
        <w:rPr>
          <w:rFonts w:eastAsia="MS Mincho"/>
          <w:lang w:eastAsia="ja-JP"/>
        </w:rPr>
        <w:t>different HARQ RTTs are examined for different sub-carrier spacings and TTI durations. The following assumptions were made</w:t>
      </w:r>
      <w:r w:rsidR="000861F6">
        <w:rPr>
          <w:rFonts w:eastAsia="MS Mincho"/>
          <w:lang w:eastAsia="ja-JP"/>
        </w:rPr>
        <w:t xml:space="preserve"> in the calculation</w:t>
      </w:r>
      <w:r w:rsidR="0086180D">
        <w:rPr>
          <w:rFonts w:eastAsia="MS Mincho"/>
          <w:lang w:eastAsia="ja-JP"/>
        </w:rPr>
        <w:t>s</w:t>
      </w:r>
      <w:r w:rsidR="00D65821">
        <w:rPr>
          <w:rFonts w:eastAsia="MS Mincho"/>
          <w:lang w:eastAsia="ja-JP"/>
        </w:rPr>
        <w:t>:</w:t>
      </w:r>
    </w:p>
    <w:p w14:paraId="50FE275D" w14:textId="0BA9C87C" w:rsidR="00D65821" w:rsidRDefault="003D2A84" w:rsidP="00A861D7">
      <w:pPr>
        <w:pStyle w:val="ListParagraph"/>
        <w:numPr>
          <w:ilvl w:val="0"/>
          <w:numId w:val="31"/>
        </w:numPr>
        <w:rPr>
          <w:rFonts w:eastAsia="MS Mincho"/>
          <w:sz w:val="20"/>
          <w:szCs w:val="20"/>
          <w:lang w:eastAsia="ja-JP"/>
        </w:rPr>
      </w:pPr>
      <w:r>
        <w:rPr>
          <w:rFonts w:eastAsia="MS Mincho"/>
          <w:sz w:val="20"/>
          <w:szCs w:val="20"/>
          <w:lang w:eastAsia="ja-JP"/>
        </w:rPr>
        <w:t xml:space="preserve">TTI duration: </w:t>
      </w:r>
      <w:r w:rsidR="00D65821">
        <w:rPr>
          <w:rFonts w:eastAsia="MS Mincho"/>
          <w:sz w:val="20"/>
          <w:szCs w:val="20"/>
          <w:lang w:eastAsia="ja-JP"/>
        </w:rPr>
        <w:t>14 and 28 symbols</w:t>
      </w:r>
    </w:p>
    <w:p w14:paraId="4BF1A3AC" w14:textId="39D8E888" w:rsidR="00A861D7" w:rsidRPr="00BE0B81" w:rsidRDefault="00A861D7" w:rsidP="00A861D7">
      <w:pPr>
        <w:pStyle w:val="ListParagraph"/>
        <w:numPr>
          <w:ilvl w:val="0"/>
          <w:numId w:val="31"/>
        </w:numPr>
        <w:rPr>
          <w:rFonts w:eastAsia="MS Mincho"/>
          <w:sz w:val="20"/>
          <w:szCs w:val="20"/>
          <w:lang w:val="en-US" w:eastAsia="ja-JP"/>
        </w:rPr>
      </w:pPr>
      <w:r w:rsidRPr="00BE0B81">
        <w:rPr>
          <w:rFonts w:eastAsia="MS Mincho"/>
          <w:sz w:val="20"/>
          <w:szCs w:val="20"/>
          <w:lang w:val="en-US" w:eastAsia="ja-JP"/>
        </w:rPr>
        <w:t xml:space="preserve">UE processing time: </w:t>
      </w:r>
      <w:r w:rsidR="00BE0B81" w:rsidRPr="00BE0B81">
        <w:rPr>
          <w:rFonts w:eastAsia="MS Mincho"/>
          <w:sz w:val="20"/>
          <w:szCs w:val="20"/>
          <w:lang w:val="en-US" w:eastAsia="ja-JP"/>
        </w:rPr>
        <w:t xml:space="preserve">1 slot + </w:t>
      </w:r>
      <w:r w:rsidRPr="00BE0B81">
        <w:rPr>
          <w:rFonts w:eastAsia="MS Mincho"/>
          <w:sz w:val="20"/>
          <w:szCs w:val="20"/>
          <w:lang w:val="en-US" w:eastAsia="ja-JP"/>
        </w:rPr>
        <w:t>0.25 ms</w:t>
      </w:r>
    </w:p>
    <w:p w14:paraId="5FB08383" w14:textId="638BA9DF" w:rsidR="00A861D7" w:rsidRPr="00BE0B81" w:rsidRDefault="00A861D7" w:rsidP="00A861D7">
      <w:pPr>
        <w:pStyle w:val="ListParagraph"/>
        <w:numPr>
          <w:ilvl w:val="0"/>
          <w:numId w:val="31"/>
        </w:numPr>
        <w:rPr>
          <w:rFonts w:eastAsia="MS Mincho"/>
          <w:sz w:val="20"/>
          <w:szCs w:val="20"/>
          <w:lang w:val="en-US" w:eastAsia="ja-JP"/>
        </w:rPr>
      </w:pPr>
      <w:r w:rsidRPr="00BE0B81">
        <w:rPr>
          <w:rFonts w:eastAsia="MS Mincho"/>
          <w:sz w:val="20"/>
          <w:szCs w:val="20"/>
          <w:lang w:val="en-US" w:eastAsia="ja-JP"/>
        </w:rPr>
        <w:t xml:space="preserve">gNB processing time: </w:t>
      </w:r>
      <w:r w:rsidR="00BE0B81" w:rsidRPr="00BE0B81">
        <w:rPr>
          <w:rFonts w:eastAsia="MS Mincho"/>
          <w:sz w:val="20"/>
          <w:szCs w:val="20"/>
          <w:lang w:val="en-US" w:eastAsia="ja-JP"/>
        </w:rPr>
        <w:t>2 slots + 0.</w:t>
      </w:r>
      <w:r w:rsidR="00BE0B81">
        <w:rPr>
          <w:rFonts w:eastAsia="MS Mincho"/>
          <w:sz w:val="20"/>
          <w:szCs w:val="20"/>
          <w:lang w:val="en-US" w:eastAsia="ja-JP"/>
        </w:rPr>
        <w:t>25</w:t>
      </w:r>
      <w:r w:rsidRPr="00BE0B81">
        <w:rPr>
          <w:rFonts w:eastAsia="MS Mincho"/>
          <w:sz w:val="20"/>
          <w:szCs w:val="20"/>
          <w:lang w:val="en-US" w:eastAsia="ja-JP"/>
        </w:rPr>
        <w:t xml:space="preserve"> ms</w:t>
      </w:r>
    </w:p>
    <w:p w14:paraId="3316644A" w14:textId="05D55C09" w:rsidR="00D65821" w:rsidRPr="00D65821" w:rsidRDefault="00D65821" w:rsidP="00A861D7">
      <w:pPr>
        <w:pStyle w:val="ListParagraph"/>
        <w:numPr>
          <w:ilvl w:val="0"/>
          <w:numId w:val="31"/>
        </w:numPr>
        <w:rPr>
          <w:rFonts w:eastAsia="MS Mincho"/>
          <w:sz w:val="20"/>
          <w:szCs w:val="20"/>
          <w:lang w:val="en-US" w:eastAsia="ja-JP"/>
        </w:rPr>
      </w:pPr>
      <w:r w:rsidRPr="00D65821">
        <w:rPr>
          <w:rFonts w:eastAsia="MS Mincho"/>
          <w:sz w:val="20"/>
          <w:szCs w:val="20"/>
          <w:lang w:val="en-US" w:eastAsia="ja-JP"/>
        </w:rPr>
        <w:t>HARQ-ACK: 1 TTI (long PUCCH)</w:t>
      </w:r>
    </w:p>
    <w:p w14:paraId="3911159C" w14:textId="50FF0DD5" w:rsidR="00D65821" w:rsidRDefault="00D65821" w:rsidP="00A861D7">
      <w:pPr>
        <w:pStyle w:val="ListParagraph"/>
        <w:numPr>
          <w:ilvl w:val="0"/>
          <w:numId w:val="31"/>
        </w:numPr>
        <w:rPr>
          <w:rFonts w:eastAsia="MS Mincho"/>
          <w:sz w:val="20"/>
          <w:szCs w:val="20"/>
          <w:lang w:val="en-US" w:eastAsia="ja-JP"/>
        </w:rPr>
      </w:pPr>
      <w:r>
        <w:rPr>
          <w:rFonts w:eastAsia="MS Mincho"/>
          <w:sz w:val="20"/>
          <w:szCs w:val="20"/>
          <w:lang w:val="en-US" w:eastAsia="ja-JP"/>
        </w:rPr>
        <w:t>Ma</w:t>
      </w:r>
      <w:r w:rsidR="00C646EE">
        <w:rPr>
          <w:rFonts w:eastAsia="MS Mincho"/>
          <w:sz w:val="20"/>
          <w:szCs w:val="20"/>
          <w:lang w:val="en-US" w:eastAsia="ja-JP"/>
        </w:rPr>
        <w:t>x 2-way FH delay: 1 ms</w:t>
      </w:r>
    </w:p>
    <w:p w14:paraId="2B85ED2A" w14:textId="648EDE0A" w:rsidR="005839FF" w:rsidRPr="00251EAE" w:rsidRDefault="0086180D" w:rsidP="005839FF">
      <w:pPr>
        <w:pStyle w:val="ListParagraph"/>
        <w:numPr>
          <w:ilvl w:val="0"/>
          <w:numId w:val="31"/>
        </w:numPr>
        <w:rPr>
          <w:rFonts w:eastAsia="MS Mincho"/>
          <w:sz w:val="20"/>
          <w:szCs w:val="20"/>
          <w:lang w:val="en-US" w:eastAsia="ja-JP"/>
        </w:rPr>
      </w:pPr>
      <w:r>
        <w:rPr>
          <w:rFonts w:eastAsia="MS Mincho"/>
          <w:sz w:val="20"/>
          <w:szCs w:val="20"/>
          <w:lang w:val="en-US" w:eastAsia="ja-JP"/>
        </w:rPr>
        <w:t>FDD operation – HARQ-AC</w:t>
      </w:r>
      <w:r w:rsidR="00BE7D45">
        <w:rPr>
          <w:rFonts w:eastAsia="MS Mincho"/>
          <w:sz w:val="20"/>
          <w:szCs w:val="20"/>
          <w:lang w:val="en-US" w:eastAsia="ja-JP"/>
        </w:rPr>
        <w:t>K transmission is possible imme</w:t>
      </w:r>
      <w:r>
        <w:rPr>
          <w:rFonts w:eastAsia="MS Mincho"/>
          <w:sz w:val="20"/>
          <w:szCs w:val="20"/>
          <w:lang w:val="en-US" w:eastAsia="ja-JP"/>
        </w:rPr>
        <w:t>diately</w:t>
      </w:r>
    </w:p>
    <w:p w14:paraId="7A115AEF" w14:textId="77777777" w:rsidR="0086180D" w:rsidRPr="00A861D7" w:rsidRDefault="0086180D" w:rsidP="0086180D">
      <w:pPr>
        <w:pStyle w:val="Caption"/>
        <w:keepNext/>
        <w:jc w:val="center"/>
        <w:rPr>
          <w:lang w:val="en-US"/>
        </w:rPr>
      </w:pPr>
      <w:r>
        <w:lastRenderedPageBreak/>
        <w:t xml:space="preserve">Table </w:t>
      </w:r>
      <w:r w:rsidR="009E2730" w:rsidRPr="003019FF">
        <w:fldChar w:fldCharType="begin"/>
      </w:r>
      <w:r w:rsidR="009E2730">
        <w:instrText xml:space="preserve"> SEQ Table \* ARABIC </w:instrText>
      </w:r>
      <w:r w:rsidR="009E2730" w:rsidRPr="003019FF">
        <w:fldChar w:fldCharType="separate"/>
      </w:r>
      <w:r>
        <w:rPr>
          <w:noProof/>
        </w:rPr>
        <w:t>1</w:t>
      </w:r>
      <w:r w:rsidR="009E2730" w:rsidRPr="003019FF">
        <w:fldChar w:fldCharType="end"/>
      </w:r>
      <w:r w:rsidRPr="00A861D7">
        <w:rPr>
          <w:lang w:val="en-US"/>
        </w:rPr>
        <w:t>: Example RTTs with different sub-carrier spacings</w:t>
      </w:r>
    </w:p>
    <w:tbl>
      <w:tblPr>
        <w:tblStyle w:val="TableGrid"/>
        <w:tblW w:w="0" w:type="auto"/>
        <w:tblInd w:w="1348" w:type="dxa"/>
        <w:tblCellMar>
          <w:left w:w="57" w:type="dxa"/>
          <w:right w:w="57" w:type="dxa"/>
        </w:tblCellMar>
        <w:tblLook w:val="04A0" w:firstRow="1" w:lastRow="0" w:firstColumn="1" w:lastColumn="0" w:noHBand="0" w:noVBand="1"/>
      </w:tblPr>
      <w:tblGrid>
        <w:gridCol w:w="2064"/>
        <w:gridCol w:w="524"/>
        <w:gridCol w:w="525"/>
        <w:gridCol w:w="615"/>
        <w:gridCol w:w="615"/>
        <w:gridCol w:w="615"/>
        <w:gridCol w:w="615"/>
        <w:gridCol w:w="615"/>
        <w:gridCol w:w="615"/>
      </w:tblGrid>
      <w:tr w:rsidR="00375D01" w14:paraId="4219A3D0" w14:textId="77777777" w:rsidTr="003019FF">
        <w:tc>
          <w:tcPr>
            <w:tcW w:w="2064" w:type="dxa"/>
            <w:tcBorders>
              <w:top w:val="single" w:sz="12" w:space="0" w:color="auto"/>
              <w:left w:val="single" w:sz="12" w:space="0" w:color="auto"/>
              <w:bottom w:val="single" w:sz="12" w:space="0" w:color="auto"/>
              <w:right w:val="single" w:sz="12" w:space="0" w:color="auto"/>
            </w:tcBorders>
            <w:vAlign w:val="bottom"/>
          </w:tcPr>
          <w:p w14:paraId="06DA81C2" w14:textId="77777777" w:rsidR="00375D01" w:rsidRPr="003019FF" w:rsidRDefault="00375D01" w:rsidP="003019FF">
            <w:pPr>
              <w:spacing w:after="0"/>
              <w:rPr>
                <w:b/>
                <w:bCs/>
                <w:sz w:val="16"/>
                <w:szCs w:val="16"/>
                <w:lang w:eastAsia="zh-CN"/>
              </w:rPr>
            </w:pPr>
            <w:r w:rsidRPr="003252A4">
              <w:rPr>
                <w:rFonts w:ascii="Calibri" w:hAnsi="Calibri"/>
                <w:b/>
                <w:bCs/>
                <w:color w:val="000000"/>
                <w:sz w:val="16"/>
                <w:szCs w:val="16"/>
              </w:rPr>
              <w:t>Subcarrier spacing</w:t>
            </w:r>
          </w:p>
        </w:tc>
        <w:tc>
          <w:tcPr>
            <w:tcW w:w="1049" w:type="dxa"/>
            <w:gridSpan w:val="2"/>
            <w:tcBorders>
              <w:top w:val="single" w:sz="12" w:space="0" w:color="auto"/>
              <w:left w:val="single" w:sz="12" w:space="0" w:color="auto"/>
              <w:bottom w:val="single" w:sz="12" w:space="0" w:color="auto"/>
              <w:right w:val="single" w:sz="12" w:space="0" w:color="auto"/>
            </w:tcBorders>
          </w:tcPr>
          <w:p w14:paraId="1CB34FF9" w14:textId="482D7D16" w:rsidR="00375D01" w:rsidRPr="003019FF" w:rsidRDefault="00375D01" w:rsidP="003019FF">
            <w:pPr>
              <w:spacing w:after="0"/>
              <w:jc w:val="center"/>
              <w:rPr>
                <w:b/>
                <w:bCs/>
                <w:sz w:val="16"/>
                <w:szCs w:val="16"/>
                <w:lang w:eastAsia="zh-CN"/>
              </w:rPr>
            </w:pPr>
            <w:r w:rsidRPr="003252A4">
              <w:rPr>
                <w:rFonts w:ascii="Calibri" w:hAnsi="Calibri"/>
                <w:b/>
                <w:bCs/>
                <w:color w:val="000000"/>
                <w:sz w:val="16"/>
                <w:szCs w:val="16"/>
              </w:rPr>
              <w:t>30 kHz</w:t>
            </w:r>
          </w:p>
        </w:tc>
        <w:tc>
          <w:tcPr>
            <w:tcW w:w="1230" w:type="dxa"/>
            <w:gridSpan w:val="2"/>
            <w:tcBorders>
              <w:top w:val="single" w:sz="12" w:space="0" w:color="auto"/>
              <w:left w:val="single" w:sz="12" w:space="0" w:color="auto"/>
              <w:bottom w:val="single" w:sz="12" w:space="0" w:color="auto"/>
              <w:right w:val="single" w:sz="12" w:space="0" w:color="auto"/>
            </w:tcBorders>
            <w:vAlign w:val="bottom"/>
          </w:tcPr>
          <w:p w14:paraId="260FC313" w14:textId="77777777" w:rsidR="00375D01" w:rsidRPr="003019FF" w:rsidRDefault="00375D01" w:rsidP="003019FF">
            <w:pPr>
              <w:spacing w:after="0"/>
              <w:jc w:val="center"/>
              <w:rPr>
                <w:b/>
                <w:bCs/>
                <w:sz w:val="16"/>
                <w:szCs w:val="16"/>
                <w:lang w:eastAsia="zh-CN"/>
              </w:rPr>
            </w:pPr>
            <w:r w:rsidRPr="003252A4">
              <w:rPr>
                <w:rFonts w:ascii="Calibri" w:hAnsi="Calibri"/>
                <w:b/>
                <w:bCs/>
                <w:color w:val="000000"/>
                <w:sz w:val="16"/>
                <w:szCs w:val="16"/>
              </w:rPr>
              <w:t>60 kHz</w:t>
            </w:r>
          </w:p>
        </w:tc>
        <w:tc>
          <w:tcPr>
            <w:tcW w:w="2460" w:type="dxa"/>
            <w:gridSpan w:val="4"/>
            <w:tcBorders>
              <w:top w:val="single" w:sz="12" w:space="0" w:color="auto"/>
              <w:left w:val="single" w:sz="12" w:space="0" w:color="auto"/>
              <w:bottom w:val="single" w:sz="12" w:space="0" w:color="auto"/>
              <w:right w:val="single" w:sz="12" w:space="0" w:color="auto"/>
            </w:tcBorders>
            <w:vAlign w:val="bottom"/>
          </w:tcPr>
          <w:p w14:paraId="45BB6B8C" w14:textId="77777777" w:rsidR="00375D01" w:rsidRPr="003019FF" w:rsidRDefault="00375D01" w:rsidP="003019FF">
            <w:pPr>
              <w:spacing w:after="0"/>
              <w:jc w:val="center"/>
              <w:rPr>
                <w:b/>
                <w:bCs/>
                <w:sz w:val="16"/>
                <w:szCs w:val="16"/>
                <w:lang w:eastAsia="zh-CN"/>
              </w:rPr>
            </w:pPr>
            <w:r w:rsidRPr="003252A4">
              <w:rPr>
                <w:rFonts w:ascii="Calibri" w:hAnsi="Calibri"/>
                <w:b/>
                <w:bCs/>
                <w:color w:val="000000"/>
                <w:sz w:val="16"/>
                <w:szCs w:val="16"/>
              </w:rPr>
              <w:t>120 kHz</w:t>
            </w:r>
          </w:p>
        </w:tc>
      </w:tr>
      <w:tr w:rsidR="003D2A84" w14:paraId="276ED936" w14:textId="77777777" w:rsidTr="003019FF">
        <w:tc>
          <w:tcPr>
            <w:tcW w:w="2064" w:type="dxa"/>
            <w:tcBorders>
              <w:top w:val="single" w:sz="12" w:space="0" w:color="auto"/>
              <w:left w:val="single" w:sz="12" w:space="0" w:color="auto"/>
              <w:right w:val="single" w:sz="12" w:space="0" w:color="auto"/>
            </w:tcBorders>
            <w:vAlign w:val="bottom"/>
          </w:tcPr>
          <w:p w14:paraId="6CAE471D" w14:textId="77777777" w:rsidR="003D2A84" w:rsidRPr="00182972" w:rsidRDefault="003D2A84" w:rsidP="009A6094">
            <w:pPr>
              <w:spacing w:after="0"/>
              <w:rPr>
                <w:sz w:val="16"/>
                <w:szCs w:val="16"/>
                <w:lang w:eastAsia="zh-CN"/>
              </w:rPr>
            </w:pPr>
            <w:r w:rsidRPr="00182972">
              <w:rPr>
                <w:rFonts w:ascii="Calibri" w:hAnsi="Calibri"/>
                <w:color w:val="000000"/>
                <w:sz w:val="16"/>
                <w:szCs w:val="16"/>
              </w:rPr>
              <w:t>symbols/TTI</w:t>
            </w:r>
          </w:p>
        </w:tc>
        <w:tc>
          <w:tcPr>
            <w:tcW w:w="524" w:type="dxa"/>
            <w:tcBorders>
              <w:top w:val="single" w:sz="12" w:space="0" w:color="auto"/>
            </w:tcBorders>
            <w:vAlign w:val="bottom"/>
          </w:tcPr>
          <w:p w14:paraId="3667C48E" w14:textId="3D9D8C46" w:rsidR="003D2A84" w:rsidRPr="00182972" w:rsidRDefault="003D2A84" w:rsidP="009A6094">
            <w:pPr>
              <w:spacing w:after="0"/>
              <w:jc w:val="right"/>
              <w:rPr>
                <w:rFonts w:ascii="Calibri" w:hAnsi="Calibri"/>
                <w:sz w:val="16"/>
                <w:szCs w:val="16"/>
              </w:rPr>
            </w:pPr>
            <w:r w:rsidRPr="00182972">
              <w:rPr>
                <w:rFonts w:ascii="Calibri" w:hAnsi="Calibri"/>
                <w:sz w:val="16"/>
                <w:szCs w:val="16"/>
              </w:rPr>
              <w:t>14</w:t>
            </w:r>
          </w:p>
        </w:tc>
        <w:tc>
          <w:tcPr>
            <w:tcW w:w="525" w:type="dxa"/>
            <w:tcBorders>
              <w:top w:val="single" w:sz="12" w:space="0" w:color="auto"/>
              <w:right w:val="single" w:sz="12" w:space="0" w:color="auto"/>
            </w:tcBorders>
            <w:vAlign w:val="bottom"/>
          </w:tcPr>
          <w:p w14:paraId="06BC7DF3" w14:textId="5A34CB4A" w:rsidR="003D2A84" w:rsidRPr="00182972" w:rsidRDefault="003D2A84" w:rsidP="009A6094">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tcBorders>
            <w:vAlign w:val="bottom"/>
          </w:tcPr>
          <w:p w14:paraId="2964E0B9" w14:textId="0192539B" w:rsidR="003D2A84" w:rsidRPr="00182972" w:rsidRDefault="003D2A84" w:rsidP="009A6094">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right w:val="single" w:sz="12" w:space="0" w:color="auto"/>
            </w:tcBorders>
            <w:vAlign w:val="bottom"/>
          </w:tcPr>
          <w:p w14:paraId="1E0DE304" w14:textId="77777777" w:rsidR="003D2A84" w:rsidRPr="00182972" w:rsidRDefault="003D2A84" w:rsidP="009A6094">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left w:val="single" w:sz="12" w:space="0" w:color="auto"/>
            </w:tcBorders>
            <w:vAlign w:val="bottom"/>
          </w:tcPr>
          <w:p w14:paraId="15CAC0B6" w14:textId="77777777" w:rsidR="003D2A84" w:rsidRPr="00182972" w:rsidRDefault="003D2A84" w:rsidP="009A6094">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tcBorders>
            <w:vAlign w:val="bottom"/>
          </w:tcPr>
          <w:p w14:paraId="1E4FB8B2" w14:textId="77777777" w:rsidR="003D2A84" w:rsidRPr="00182972" w:rsidRDefault="003D2A84" w:rsidP="009A6094">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tcBorders>
            <w:vAlign w:val="bottom"/>
          </w:tcPr>
          <w:p w14:paraId="736D4F71" w14:textId="77777777" w:rsidR="003D2A84" w:rsidRPr="00182972" w:rsidRDefault="003D2A84" w:rsidP="009A6094">
            <w:pPr>
              <w:spacing w:after="0"/>
              <w:jc w:val="right"/>
              <w:rPr>
                <w:sz w:val="16"/>
                <w:szCs w:val="16"/>
                <w:lang w:eastAsia="zh-CN"/>
              </w:rPr>
            </w:pPr>
            <w:r w:rsidRPr="00182972">
              <w:rPr>
                <w:rFonts w:ascii="Calibri" w:hAnsi="Calibri"/>
                <w:sz w:val="16"/>
                <w:szCs w:val="16"/>
              </w:rPr>
              <w:t>28</w:t>
            </w:r>
          </w:p>
        </w:tc>
        <w:tc>
          <w:tcPr>
            <w:tcW w:w="615" w:type="dxa"/>
            <w:tcBorders>
              <w:top w:val="single" w:sz="12" w:space="0" w:color="auto"/>
              <w:right w:val="single" w:sz="12" w:space="0" w:color="auto"/>
            </w:tcBorders>
            <w:vAlign w:val="bottom"/>
          </w:tcPr>
          <w:p w14:paraId="438D8688" w14:textId="77777777" w:rsidR="003D2A84" w:rsidRPr="00182972" w:rsidRDefault="003D2A84" w:rsidP="009A6094">
            <w:pPr>
              <w:spacing w:after="0"/>
              <w:jc w:val="right"/>
              <w:rPr>
                <w:sz w:val="16"/>
                <w:szCs w:val="16"/>
                <w:lang w:eastAsia="zh-CN"/>
              </w:rPr>
            </w:pPr>
            <w:r w:rsidRPr="00182972">
              <w:rPr>
                <w:rFonts w:ascii="Calibri" w:hAnsi="Calibri"/>
                <w:sz w:val="16"/>
                <w:szCs w:val="16"/>
              </w:rPr>
              <w:t>28</w:t>
            </w:r>
          </w:p>
        </w:tc>
      </w:tr>
      <w:tr w:rsidR="003D2A84" w14:paraId="5F1A16EA" w14:textId="77777777" w:rsidTr="003019FF">
        <w:tc>
          <w:tcPr>
            <w:tcW w:w="2064" w:type="dxa"/>
            <w:tcBorders>
              <w:left w:val="single" w:sz="12" w:space="0" w:color="auto"/>
              <w:right w:val="single" w:sz="12" w:space="0" w:color="auto"/>
            </w:tcBorders>
            <w:vAlign w:val="bottom"/>
          </w:tcPr>
          <w:p w14:paraId="628FC33C" w14:textId="77777777" w:rsidR="003D2A84" w:rsidRPr="00182972" w:rsidRDefault="003D2A84" w:rsidP="009A6094">
            <w:pPr>
              <w:spacing w:after="0"/>
              <w:rPr>
                <w:sz w:val="16"/>
                <w:szCs w:val="16"/>
                <w:lang w:eastAsia="zh-CN"/>
              </w:rPr>
            </w:pPr>
            <w:r>
              <w:rPr>
                <w:rFonts w:ascii="Calibri" w:hAnsi="Calibri"/>
                <w:color w:val="000000"/>
                <w:sz w:val="16"/>
                <w:szCs w:val="16"/>
              </w:rPr>
              <w:t>TTI</w:t>
            </w:r>
            <w:r w:rsidRPr="00182972">
              <w:rPr>
                <w:rFonts w:ascii="Calibri" w:hAnsi="Calibri"/>
                <w:color w:val="000000"/>
                <w:sz w:val="16"/>
                <w:szCs w:val="16"/>
              </w:rPr>
              <w:t xml:space="preserve"> [ms]</w:t>
            </w:r>
          </w:p>
        </w:tc>
        <w:tc>
          <w:tcPr>
            <w:tcW w:w="524" w:type="dxa"/>
            <w:vAlign w:val="bottom"/>
          </w:tcPr>
          <w:p w14:paraId="127717BC" w14:textId="290D87FC" w:rsidR="003D2A84" w:rsidRPr="00182972" w:rsidRDefault="003D2A84" w:rsidP="003D2A84">
            <w:pPr>
              <w:spacing w:after="0"/>
              <w:jc w:val="right"/>
              <w:rPr>
                <w:rFonts w:ascii="Calibri" w:hAnsi="Calibri"/>
                <w:color w:val="000000"/>
                <w:sz w:val="16"/>
                <w:szCs w:val="16"/>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5</w:t>
            </w:r>
          </w:p>
        </w:tc>
        <w:tc>
          <w:tcPr>
            <w:tcW w:w="525" w:type="dxa"/>
            <w:tcBorders>
              <w:right w:val="single" w:sz="12" w:space="0" w:color="auto"/>
            </w:tcBorders>
            <w:vAlign w:val="bottom"/>
          </w:tcPr>
          <w:p w14:paraId="218D5E59" w14:textId="71250EFD" w:rsidR="003D2A84" w:rsidRPr="00182972" w:rsidRDefault="003D2A84" w:rsidP="003D2A84">
            <w:pPr>
              <w:spacing w:after="0"/>
              <w:jc w:val="right"/>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5</w:t>
            </w:r>
          </w:p>
        </w:tc>
        <w:tc>
          <w:tcPr>
            <w:tcW w:w="615" w:type="dxa"/>
            <w:vAlign w:val="bottom"/>
          </w:tcPr>
          <w:p w14:paraId="4BFBB2B3" w14:textId="6F2299E1" w:rsidR="003D2A84" w:rsidRPr="00182972" w:rsidRDefault="003D2A84" w:rsidP="003D2A84">
            <w:pPr>
              <w:spacing w:after="0"/>
              <w:jc w:val="right"/>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25</w:t>
            </w:r>
          </w:p>
        </w:tc>
        <w:tc>
          <w:tcPr>
            <w:tcW w:w="615" w:type="dxa"/>
            <w:tcBorders>
              <w:right w:val="single" w:sz="12" w:space="0" w:color="auto"/>
            </w:tcBorders>
            <w:vAlign w:val="bottom"/>
          </w:tcPr>
          <w:p w14:paraId="12035B5D" w14:textId="5AEED3DA" w:rsidR="003D2A84" w:rsidRPr="00182972" w:rsidRDefault="003D2A84" w:rsidP="003D2A84">
            <w:pPr>
              <w:spacing w:after="0"/>
              <w:jc w:val="right"/>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25</w:t>
            </w:r>
          </w:p>
        </w:tc>
        <w:tc>
          <w:tcPr>
            <w:tcW w:w="615" w:type="dxa"/>
            <w:tcBorders>
              <w:left w:val="single" w:sz="12" w:space="0" w:color="auto"/>
            </w:tcBorders>
            <w:vAlign w:val="bottom"/>
          </w:tcPr>
          <w:p w14:paraId="25D4CC90" w14:textId="607AC89F" w:rsidR="003D2A84" w:rsidRPr="00182972" w:rsidRDefault="003D2A84" w:rsidP="003D2A84">
            <w:pPr>
              <w:spacing w:after="0"/>
              <w:jc w:val="right"/>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125</w:t>
            </w:r>
          </w:p>
        </w:tc>
        <w:tc>
          <w:tcPr>
            <w:tcW w:w="615" w:type="dxa"/>
            <w:vAlign w:val="bottom"/>
          </w:tcPr>
          <w:p w14:paraId="6FB8789E" w14:textId="096A0D25" w:rsidR="003D2A84" w:rsidRPr="00182972" w:rsidRDefault="003D2A84" w:rsidP="003D2A84">
            <w:pPr>
              <w:spacing w:after="0"/>
              <w:jc w:val="right"/>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125</w:t>
            </w:r>
          </w:p>
        </w:tc>
        <w:tc>
          <w:tcPr>
            <w:tcW w:w="615" w:type="dxa"/>
            <w:vAlign w:val="bottom"/>
          </w:tcPr>
          <w:p w14:paraId="12F82A1B" w14:textId="07E1EF8F" w:rsidR="003D2A84" w:rsidRPr="00182972" w:rsidRDefault="003D2A84" w:rsidP="003D2A84">
            <w:pPr>
              <w:spacing w:after="0"/>
              <w:jc w:val="right"/>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25</w:t>
            </w:r>
          </w:p>
        </w:tc>
        <w:tc>
          <w:tcPr>
            <w:tcW w:w="615" w:type="dxa"/>
            <w:tcBorders>
              <w:right w:val="single" w:sz="12" w:space="0" w:color="auto"/>
            </w:tcBorders>
            <w:vAlign w:val="bottom"/>
          </w:tcPr>
          <w:p w14:paraId="55740614" w14:textId="53A8C925" w:rsidR="003D2A84" w:rsidRPr="00182972" w:rsidRDefault="003D2A84" w:rsidP="003D2A84">
            <w:pPr>
              <w:spacing w:after="0"/>
              <w:jc w:val="right"/>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25</w:t>
            </w:r>
          </w:p>
        </w:tc>
      </w:tr>
      <w:tr w:rsidR="003D2A84" w14:paraId="44D919DF" w14:textId="77777777" w:rsidTr="003019FF">
        <w:tc>
          <w:tcPr>
            <w:tcW w:w="2064" w:type="dxa"/>
            <w:tcBorders>
              <w:left w:val="single" w:sz="12" w:space="0" w:color="auto"/>
              <w:right w:val="single" w:sz="12" w:space="0" w:color="auto"/>
            </w:tcBorders>
            <w:vAlign w:val="bottom"/>
          </w:tcPr>
          <w:p w14:paraId="06EDED32" w14:textId="77777777" w:rsidR="003D2A84" w:rsidRPr="00182972" w:rsidRDefault="003D2A84" w:rsidP="009A6094">
            <w:pPr>
              <w:spacing w:after="0"/>
              <w:rPr>
                <w:sz w:val="16"/>
                <w:szCs w:val="16"/>
                <w:lang w:eastAsia="zh-CN"/>
              </w:rPr>
            </w:pPr>
            <w:r>
              <w:rPr>
                <w:rFonts w:ascii="Calibri" w:hAnsi="Calibri"/>
                <w:color w:val="000000"/>
                <w:sz w:val="16"/>
                <w:szCs w:val="16"/>
              </w:rPr>
              <w:t># of HARQ processes</w:t>
            </w:r>
          </w:p>
        </w:tc>
        <w:tc>
          <w:tcPr>
            <w:tcW w:w="524" w:type="dxa"/>
            <w:shd w:val="clear" w:color="auto" w:fill="auto"/>
            <w:vAlign w:val="bottom"/>
          </w:tcPr>
          <w:p w14:paraId="20F81451" w14:textId="0BC1CFD1" w:rsidR="003D2A84" w:rsidRPr="00182972" w:rsidRDefault="003D2A84" w:rsidP="003D2A84">
            <w:pPr>
              <w:spacing w:after="0"/>
              <w:jc w:val="right"/>
              <w:rPr>
                <w:rFonts w:ascii="Calibri" w:hAnsi="Calibri"/>
                <w:color w:val="000000"/>
                <w:sz w:val="16"/>
                <w:szCs w:val="16"/>
              </w:rPr>
            </w:pPr>
            <w:r w:rsidRPr="00182972">
              <w:rPr>
                <w:rFonts w:ascii="Calibri" w:hAnsi="Calibri"/>
                <w:color w:val="000000"/>
                <w:sz w:val="16"/>
                <w:szCs w:val="16"/>
              </w:rPr>
              <w:t>8</w:t>
            </w:r>
          </w:p>
        </w:tc>
        <w:tc>
          <w:tcPr>
            <w:tcW w:w="525" w:type="dxa"/>
            <w:tcBorders>
              <w:right w:val="single" w:sz="12" w:space="0" w:color="auto"/>
            </w:tcBorders>
            <w:shd w:val="clear" w:color="auto" w:fill="C5E0B3" w:themeFill="accent6" w:themeFillTint="66"/>
            <w:vAlign w:val="bottom"/>
          </w:tcPr>
          <w:p w14:paraId="308B745D" w14:textId="6F4349B4" w:rsidR="003D2A84" w:rsidRPr="00182972" w:rsidRDefault="003D2A84" w:rsidP="003D2A84">
            <w:pPr>
              <w:spacing w:after="0"/>
              <w:jc w:val="right"/>
              <w:rPr>
                <w:sz w:val="16"/>
                <w:szCs w:val="16"/>
                <w:lang w:eastAsia="zh-CN"/>
              </w:rPr>
            </w:pPr>
            <w:r>
              <w:rPr>
                <w:rFonts w:ascii="Calibri" w:hAnsi="Calibri"/>
                <w:color w:val="000000"/>
                <w:sz w:val="16"/>
                <w:szCs w:val="16"/>
              </w:rPr>
              <w:t>16</w:t>
            </w:r>
          </w:p>
        </w:tc>
        <w:tc>
          <w:tcPr>
            <w:tcW w:w="615" w:type="dxa"/>
            <w:vAlign w:val="bottom"/>
          </w:tcPr>
          <w:p w14:paraId="0E04A028" w14:textId="7C56B747" w:rsidR="003D2A84" w:rsidRPr="00182972" w:rsidRDefault="003D2A84" w:rsidP="003D2A84">
            <w:pPr>
              <w:spacing w:after="0"/>
              <w:jc w:val="right"/>
              <w:rPr>
                <w:sz w:val="16"/>
                <w:szCs w:val="16"/>
                <w:lang w:eastAsia="zh-CN"/>
              </w:rPr>
            </w:pPr>
            <w:r w:rsidRPr="00182972">
              <w:rPr>
                <w:rFonts w:ascii="Calibri" w:hAnsi="Calibri"/>
                <w:color w:val="000000"/>
                <w:sz w:val="16"/>
                <w:szCs w:val="16"/>
              </w:rPr>
              <w:t>8</w:t>
            </w:r>
          </w:p>
        </w:tc>
        <w:tc>
          <w:tcPr>
            <w:tcW w:w="615" w:type="dxa"/>
            <w:tcBorders>
              <w:right w:val="single" w:sz="12" w:space="0" w:color="auto"/>
            </w:tcBorders>
            <w:shd w:val="clear" w:color="auto" w:fill="C5E0B3" w:themeFill="accent6" w:themeFillTint="66"/>
            <w:vAlign w:val="bottom"/>
          </w:tcPr>
          <w:p w14:paraId="6280D23B" w14:textId="77777777" w:rsidR="003D2A84" w:rsidRPr="00182972" w:rsidRDefault="003D2A84" w:rsidP="003D2A84">
            <w:pPr>
              <w:spacing w:after="0"/>
              <w:jc w:val="right"/>
              <w:rPr>
                <w:sz w:val="16"/>
                <w:szCs w:val="16"/>
                <w:lang w:eastAsia="zh-CN"/>
              </w:rPr>
            </w:pPr>
            <w:r w:rsidRPr="00182972">
              <w:rPr>
                <w:rFonts w:ascii="Calibri" w:hAnsi="Calibri"/>
                <w:color w:val="000000"/>
                <w:sz w:val="16"/>
                <w:szCs w:val="16"/>
              </w:rPr>
              <w:t>16</w:t>
            </w:r>
          </w:p>
        </w:tc>
        <w:tc>
          <w:tcPr>
            <w:tcW w:w="615" w:type="dxa"/>
            <w:tcBorders>
              <w:left w:val="single" w:sz="12" w:space="0" w:color="auto"/>
            </w:tcBorders>
            <w:vAlign w:val="bottom"/>
          </w:tcPr>
          <w:p w14:paraId="030E0804" w14:textId="77777777" w:rsidR="003D2A84" w:rsidRPr="00182972" w:rsidRDefault="003D2A84" w:rsidP="003D2A84">
            <w:pPr>
              <w:spacing w:after="0"/>
              <w:jc w:val="right"/>
              <w:rPr>
                <w:sz w:val="16"/>
                <w:szCs w:val="16"/>
                <w:lang w:eastAsia="zh-CN"/>
              </w:rPr>
            </w:pPr>
            <w:r w:rsidRPr="00182972">
              <w:rPr>
                <w:rFonts w:ascii="Calibri" w:hAnsi="Calibri"/>
                <w:color w:val="000000"/>
                <w:sz w:val="16"/>
                <w:szCs w:val="16"/>
              </w:rPr>
              <w:t>8</w:t>
            </w:r>
          </w:p>
        </w:tc>
        <w:tc>
          <w:tcPr>
            <w:tcW w:w="615" w:type="dxa"/>
            <w:vAlign w:val="bottom"/>
          </w:tcPr>
          <w:p w14:paraId="4C56281E" w14:textId="77777777" w:rsidR="003D2A84" w:rsidRPr="00182972" w:rsidRDefault="003D2A84" w:rsidP="003D2A84">
            <w:pPr>
              <w:spacing w:after="0"/>
              <w:jc w:val="right"/>
              <w:rPr>
                <w:sz w:val="16"/>
                <w:szCs w:val="16"/>
                <w:lang w:eastAsia="zh-CN"/>
              </w:rPr>
            </w:pPr>
            <w:r w:rsidRPr="00182972">
              <w:rPr>
                <w:rFonts w:ascii="Calibri" w:hAnsi="Calibri"/>
                <w:color w:val="000000"/>
                <w:sz w:val="16"/>
                <w:szCs w:val="16"/>
              </w:rPr>
              <w:t>16</w:t>
            </w:r>
          </w:p>
        </w:tc>
        <w:tc>
          <w:tcPr>
            <w:tcW w:w="615" w:type="dxa"/>
            <w:vAlign w:val="bottom"/>
          </w:tcPr>
          <w:p w14:paraId="204DD641" w14:textId="77777777" w:rsidR="003D2A84" w:rsidRPr="00182972" w:rsidRDefault="003D2A84" w:rsidP="003D2A84">
            <w:pPr>
              <w:spacing w:after="0"/>
              <w:jc w:val="right"/>
              <w:rPr>
                <w:sz w:val="16"/>
                <w:szCs w:val="16"/>
                <w:lang w:eastAsia="zh-CN"/>
              </w:rPr>
            </w:pPr>
            <w:r w:rsidRPr="00182972">
              <w:rPr>
                <w:rFonts w:ascii="Calibri" w:hAnsi="Calibri"/>
                <w:color w:val="000000"/>
                <w:sz w:val="16"/>
                <w:szCs w:val="16"/>
              </w:rPr>
              <w:t>8</w:t>
            </w:r>
          </w:p>
        </w:tc>
        <w:tc>
          <w:tcPr>
            <w:tcW w:w="615" w:type="dxa"/>
            <w:tcBorders>
              <w:right w:val="single" w:sz="12" w:space="0" w:color="auto"/>
            </w:tcBorders>
            <w:shd w:val="clear" w:color="auto" w:fill="C5E0B3" w:themeFill="accent6" w:themeFillTint="66"/>
            <w:vAlign w:val="bottom"/>
          </w:tcPr>
          <w:p w14:paraId="65212D70" w14:textId="77777777" w:rsidR="003D2A84" w:rsidRPr="00182972" w:rsidRDefault="003D2A84" w:rsidP="003D2A84">
            <w:pPr>
              <w:spacing w:after="0"/>
              <w:jc w:val="right"/>
              <w:rPr>
                <w:sz w:val="16"/>
                <w:szCs w:val="16"/>
                <w:lang w:eastAsia="zh-CN"/>
              </w:rPr>
            </w:pPr>
            <w:r w:rsidRPr="00182972">
              <w:rPr>
                <w:rFonts w:ascii="Calibri" w:hAnsi="Calibri"/>
                <w:color w:val="000000"/>
                <w:sz w:val="16"/>
                <w:szCs w:val="16"/>
              </w:rPr>
              <w:t>16</w:t>
            </w:r>
          </w:p>
        </w:tc>
      </w:tr>
      <w:tr w:rsidR="003D2A84" w14:paraId="60205165" w14:textId="77777777" w:rsidTr="003019FF">
        <w:tc>
          <w:tcPr>
            <w:tcW w:w="2064" w:type="dxa"/>
            <w:tcBorders>
              <w:left w:val="single" w:sz="12" w:space="0" w:color="auto"/>
              <w:right w:val="single" w:sz="12" w:space="0" w:color="auto"/>
            </w:tcBorders>
            <w:vAlign w:val="bottom"/>
          </w:tcPr>
          <w:p w14:paraId="57C26756" w14:textId="77777777" w:rsidR="003D2A84" w:rsidRPr="00182972" w:rsidRDefault="003D2A84" w:rsidP="009A6094">
            <w:pPr>
              <w:spacing w:after="0"/>
              <w:rPr>
                <w:sz w:val="16"/>
                <w:szCs w:val="16"/>
                <w:lang w:eastAsia="zh-CN"/>
              </w:rPr>
            </w:pPr>
            <w:r>
              <w:rPr>
                <w:rFonts w:ascii="Calibri" w:hAnsi="Calibri"/>
                <w:b/>
                <w:bCs/>
                <w:color w:val="000000"/>
                <w:sz w:val="16"/>
                <w:szCs w:val="16"/>
              </w:rPr>
              <w:t xml:space="preserve">Max </w:t>
            </w:r>
            <w:r w:rsidRPr="00182972">
              <w:rPr>
                <w:rFonts w:ascii="Calibri" w:hAnsi="Calibri"/>
                <w:b/>
                <w:bCs/>
                <w:color w:val="000000"/>
                <w:sz w:val="16"/>
                <w:szCs w:val="16"/>
              </w:rPr>
              <w:t>HARQ RTT</w:t>
            </w:r>
            <w:r>
              <w:rPr>
                <w:rFonts w:ascii="Calibri" w:hAnsi="Calibri"/>
                <w:b/>
                <w:bCs/>
                <w:color w:val="000000"/>
                <w:sz w:val="16"/>
                <w:szCs w:val="16"/>
              </w:rPr>
              <w:t xml:space="preserve"> [ms]</w:t>
            </w:r>
          </w:p>
        </w:tc>
        <w:tc>
          <w:tcPr>
            <w:tcW w:w="524" w:type="dxa"/>
            <w:vAlign w:val="bottom"/>
          </w:tcPr>
          <w:p w14:paraId="1A620C20" w14:textId="254E2A2B" w:rsidR="003D2A84" w:rsidRPr="00182972" w:rsidRDefault="003D2A84" w:rsidP="003D2A84">
            <w:pPr>
              <w:spacing w:after="0"/>
              <w:jc w:val="right"/>
              <w:rPr>
                <w:rFonts w:ascii="Calibri" w:hAnsi="Calibri"/>
                <w:b/>
                <w:bCs/>
                <w:color w:val="000000"/>
                <w:sz w:val="16"/>
                <w:szCs w:val="16"/>
              </w:rPr>
            </w:pPr>
            <w:r w:rsidRPr="00182972">
              <w:rPr>
                <w:rFonts w:ascii="Calibri" w:hAnsi="Calibri"/>
                <w:b/>
                <w:bCs/>
                <w:color w:val="000000"/>
                <w:sz w:val="16"/>
                <w:szCs w:val="16"/>
              </w:rPr>
              <w:t>4</w:t>
            </w:r>
          </w:p>
        </w:tc>
        <w:tc>
          <w:tcPr>
            <w:tcW w:w="525" w:type="dxa"/>
            <w:tcBorders>
              <w:right w:val="single" w:sz="12" w:space="0" w:color="auto"/>
            </w:tcBorders>
            <w:vAlign w:val="bottom"/>
          </w:tcPr>
          <w:p w14:paraId="2A584710" w14:textId="77E33FAC" w:rsidR="003D2A84" w:rsidRPr="00182972" w:rsidRDefault="003D2A84" w:rsidP="003D2A84">
            <w:pPr>
              <w:spacing w:after="0"/>
              <w:jc w:val="right"/>
              <w:rPr>
                <w:sz w:val="16"/>
                <w:szCs w:val="16"/>
                <w:lang w:eastAsia="zh-CN"/>
              </w:rPr>
            </w:pPr>
            <w:r>
              <w:rPr>
                <w:rFonts w:ascii="Calibri" w:hAnsi="Calibri"/>
                <w:b/>
                <w:bCs/>
                <w:color w:val="000000"/>
                <w:sz w:val="16"/>
                <w:szCs w:val="16"/>
              </w:rPr>
              <w:t>8</w:t>
            </w:r>
          </w:p>
        </w:tc>
        <w:tc>
          <w:tcPr>
            <w:tcW w:w="615" w:type="dxa"/>
            <w:vAlign w:val="bottom"/>
          </w:tcPr>
          <w:p w14:paraId="627D1A56" w14:textId="25C20958" w:rsidR="003D2A84" w:rsidRPr="00182972" w:rsidRDefault="003D2A84" w:rsidP="003D2A84">
            <w:pPr>
              <w:spacing w:after="0"/>
              <w:jc w:val="right"/>
              <w:rPr>
                <w:sz w:val="16"/>
                <w:szCs w:val="16"/>
                <w:lang w:eastAsia="zh-CN"/>
              </w:rPr>
            </w:pPr>
            <w:r w:rsidRPr="00182972">
              <w:rPr>
                <w:rFonts w:ascii="Calibri" w:hAnsi="Calibri"/>
                <w:b/>
                <w:bCs/>
                <w:color w:val="000000"/>
                <w:sz w:val="16"/>
                <w:szCs w:val="16"/>
              </w:rPr>
              <w:t>2</w:t>
            </w:r>
          </w:p>
        </w:tc>
        <w:tc>
          <w:tcPr>
            <w:tcW w:w="615" w:type="dxa"/>
            <w:tcBorders>
              <w:right w:val="single" w:sz="12" w:space="0" w:color="auto"/>
            </w:tcBorders>
            <w:vAlign w:val="bottom"/>
          </w:tcPr>
          <w:p w14:paraId="74684110" w14:textId="77777777" w:rsidR="003D2A84" w:rsidRPr="00182972" w:rsidRDefault="003D2A84" w:rsidP="003D2A84">
            <w:pPr>
              <w:spacing w:after="0"/>
              <w:jc w:val="right"/>
              <w:rPr>
                <w:sz w:val="16"/>
                <w:szCs w:val="16"/>
                <w:lang w:eastAsia="zh-CN"/>
              </w:rPr>
            </w:pPr>
            <w:r w:rsidRPr="00182972">
              <w:rPr>
                <w:rFonts w:ascii="Calibri" w:hAnsi="Calibri"/>
                <w:b/>
                <w:bCs/>
                <w:color w:val="000000"/>
                <w:sz w:val="16"/>
                <w:szCs w:val="16"/>
              </w:rPr>
              <w:t>4</w:t>
            </w:r>
          </w:p>
        </w:tc>
        <w:tc>
          <w:tcPr>
            <w:tcW w:w="615" w:type="dxa"/>
            <w:tcBorders>
              <w:left w:val="single" w:sz="12" w:space="0" w:color="auto"/>
            </w:tcBorders>
            <w:vAlign w:val="bottom"/>
          </w:tcPr>
          <w:p w14:paraId="5E94EB43" w14:textId="77777777" w:rsidR="003D2A84" w:rsidRPr="00182972" w:rsidRDefault="003D2A84" w:rsidP="003D2A84">
            <w:pPr>
              <w:spacing w:after="0"/>
              <w:jc w:val="right"/>
              <w:rPr>
                <w:sz w:val="16"/>
                <w:szCs w:val="16"/>
                <w:lang w:eastAsia="zh-CN"/>
              </w:rPr>
            </w:pPr>
            <w:r w:rsidRPr="00182972">
              <w:rPr>
                <w:rFonts w:ascii="Calibri" w:hAnsi="Calibri"/>
                <w:b/>
                <w:bCs/>
                <w:color w:val="000000"/>
                <w:sz w:val="16"/>
                <w:szCs w:val="16"/>
              </w:rPr>
              <w:t>1</w:t>
            </w:r>
          </w:p>
        </w:tc>
        <w:tc>
          <w:tcPr>
            <w:tcW w:w="615" w:type="dxa"/>
            <w:vAlign w:val="bottom"/>
          </w:tcPr>
          <w:p w14:paraId="12124B46" w14:textId="77777777" w:rsidR="003D2A84" w:rsidRPr="00182972" w:rsidRDefault="003D2A84" w:rsidP="003D2A84">
            <w:pPr>
              <w:spacing w:after="0"/>
              <w:jc w:val="right"/>
              <w:rPr>
                <w:sz w:val="16"/>
                <w:szCs w:val="16"/>
                <w:lang w:eastAsia="zh-CN"/>
              </w:rPr>
            </w:pPr>
            <w:r w:rsidRPr="00182972">
              <w:rPr>
                <w:rFonts w:ascii="Calibri" w:hAnsi="Calibri"/>
                <w:b/>
                <w:bCs/>
                <w:color w:val="000000"/>
                <w:sz w:val="16"/>
                <w:szCs w:val="16"/>
              </w:rPr>
              <w:t>2</w:t>
            </w:r>
          </w:p>
        </w:tc>
        <w:tc>
          <w:tcPr>
            <w:tcW w:w="615" w:type="dxa"/>
            <w:vAlign w:val="bottom"/>
          </w:tcPr>
          <w:p w14:paraId="62DE7F6A" w14:textId="77777777" w:rsidR="003D2A84" w:rsidRPr="00182972" w:rsidRDefault="003D2A84" w:rsidP="003D2A84">
            <w:pPr>
              <w:spacing w:after="0"/>
              <w:jc w:val="right"/>
              <w:rPr>
                <w:sz w:val="16"/>
                <w:szCs w:val="16"/>
                <w:lang w:eastAsia="zh-CN"/>
              </w:rPr>
            </w:pPr>
            <w:r w:rsidRPr="00182972">
              <w:rPr>
                <w:rFonts w:ascii="Calibri" w:hAnsi="Calibri"/>
                <w:b/>
                <w:bCs/>
                <w:color w:val="000000"/>
                <w:sz w:val="16"/>
                <w:szCs w:val="16"/>
              </w:rPr>
              <w:t>2</w:t>
            </w:r>
          </w:p>
        </w:tc>
        <w:tc>
          <w:tcPr>
            <w:tcW w:w="615" w:type="dxa"/>
            <w:tcBorders>
              <w:right w:val="single" w:sz="12" w:space="0" w:color="auto"/>
            </w:tcBorders>
            <w:vAlign w:val="bottom"/>
          </w:tcPr>
          <w:p w14:paraId="0CCAEE30" w14:textId="77777777" w:rsidR="003D2A84" w:rsidRPr="00182972" w:rsidRDefault="003D2A84" w:rsidP="003D2A84">
            <w:pPr>
              <w:spacing w:after="0"/>
              <w:jc w:val="right"/>
              <w:rPr>
                <w:sz w:val="16"/>
                <w:szCs w:val="16"/>
                <w:lang w:eastAsia="zh-CN"/>
              </w:rPr>
            </w:pPr>
            <w:r w:rsidRPr="00182972">
              <w:rPr>
                <w:rFonts w:ascii="Calibri" w:hAnsi="Calibri"/>
                <w:b/>
                <w:bCs/>
                <w:color w:val="000000"/>
                <w:sz w:val="16"/>
                <w:szCs w:val="16"/>
              </w:rPr>
              <w:t>4</w:t>
            </w:r>
          </w:p>
        </w:tc>
      </w:tr>
      <w:tr w:rsidR="003D2A84" w14:paraId="10614302" w14:textId="77777777" w:rsidTr="003019FF">
        <w:tc>
          <w:tcPr>
            <w:tcW w:w="2064" w:type="dxa"/>
            <w:tcBorders>
              <w:left w:val="single" w:sz="12" w:space="0" w:color="auto"/>
              <w:bottom w:val="single" w:sz="12" w:space="0" w:color="auto"/>
              <w:right w:val="single" w:sz="12" w:space="0" w:color="auto"/>
            </w:tcBorders>
            <w:vAlign w:val="bottom"/>
          </w:tcPr>
          <w:p w14:paraId="52DF851A" w14:textId="77777777" w:rsidR="003D2A84" w:rsidRPr="00182972" w:rsidRDefault="003D2A84" w:rsidP="009A6094">
            <w:pPr>
              <w:spacing w:after="0"/>
              <w:rPr>
                <w:sz w:val="16"/>
                <w:szCs w:val="16"/>
                <w:lang w:eastAsia="zh-CN"/>
              </w:rPr>
            </w:pPr>
            <w:r>
              <w:rPr>
                <w:rFonts w:ascii="Calibri" w:hAnsi="Calibri"/>
                <w:color w:val="000000"/>
                <w:sz w:val="16"/>
                <w:szCs w:val="16"/>
              </w:rPr>
              <w:t>Cell R</w:t>
            </w:r>
            <w:r w:rsidRPr="00182972">
              <w:rPr>
                <w:rFonts w:ascii="Calibri" w:hAnsi="Calibri"/>
                <w:color w:val="000000"/>
                <w:sz w:val="16"/>
                <w:szCs w:val="16"/>
              </w:rPr>
              <w:t>ange [km]</w:t>
            </w:r>
          </w:p>
        </w:tc>
        <w:tc>
          <w:tcPr>
            <w:tcW w:w="524" w:type="dxa"/>
            <w:tcBorders>
              <w:bottom w:val="single" w:sz="12" w:space="0" w:color="auto"/>
            </w:tcBorders>
            <w:vAlign w:val="bottom"/>
          </w:tcPr>
          <w:p w14:paraId="18033BC6" w14:textId="42B471A9" w:rsidR="003D2A84" w:rsidRPr="00182972" w:rsidRDefault="003D2A84" w:rsidP="003D2A84">
            <w:pPr>
              <w:spacing w:after="0"/>
              <w:jc w:val="right"/>
              <w:rPr>
                <w:rFonts w:ascii="Calibri" w:hAnsi="Calibri"/>
                <w:color w:val="000000"/>
                <w:sz w:val="16"/>
                <w:szCs w:val="16"/>
              </w:rPr>
            </w:pPr>
            <w:r w:rsidRPr="00182972">
              <w:rPr>
                <w:rFonts w:ascii="Calibri" w:hAnsi="Calibri"/>
                <w:color w:val="000000"/>
                <w:sz w:val="16"/>
                <w:szCs w:val="16"/>
              </w:rPr>
              <w:t>3</w:t>
            </w:r>
          </w:p>
        </w:tc>
        <w:tc>
          <w:tcPr>
            <w:tcW w:w="525" w:type="dxa"/>
            <w:tcBorders>
              <w:bottom w:val="single" w:sz="12" w:space="0" w:color="auto"/>
              <w:right w:val="single" w:sz="12" w:space="0" w:color="auto"/>
            </w:tcBorders>
            <w:vAlign w:val="bottom"/>
          </w:tcPr>
          <w:p w14:paraId="7D20B57A" w14:textId="3E77E118" w:rsidR="003D2A84" w:rsidRPr="00182972" w:rsidRDefault="003D2A84" w:rsidP="003D2A84">
            <w:pPr>
              <w:spacing w:after="0"/>
              <w:jc w:val="right"/>
              <w:rPr>
                <w:sz w:val="16"/>
                <w:szCs w:val="16"/>
                <w:lang w:eastAsia="zh-CN"/>
              </w:rPr>
            </w:pPr>
            <w:r w:rsidRPr="00182972">
              <w:rPr>
                <w:rFonts w:ascii="Calibri" w:hAnsi="Calibri"/>
                <w:color w:val="000000"/>
                <w:sz w:val="16"/>
                <w:szCs w:val="16"/>
              </w:rPr>
              <w:t>3</w:t>
            </w:r>
          </w:p>
        </w:tc>
        <w:tc>
          <w:tcPr>
            <w:tcW w:w="615" w:type="dxa"/>
            <w:tcBorders>
              <w:bottom w:val="single" w:sz="12" w:space="0" w:color="auto"/>
            </w:tcBorders>
            <w:vAlign w:val="bottom"/>
          </w:tcPr>
          <w:p w14:paraId="3B6C1881" w14:textId="1FED33D6" w:rsidR="003D2A84" w:rsidRPr="00182972" w:rsidRDefault="003D2A84" w:rsidP="003D2A84">
            <w:pPr>
              <w:spacing w:after="0"/>
              <w:jc w:val="right"/>
              <w:rPr>
                <w:sz w:val="16"/>
                <w:szCs w:val="16"/>
                <w:lang w:eastAsia="zh-CN"/>
              </w:rPr>
            </w:pPr>
            <w:r w:rsidRPr="00182972">
              <w:rPr>
                <w:rFonts w:ascii="Calibri" w:hAnsi="Calibri"/>
                <w:color w:val="000000"/>
                <w:sz w:val="16"/>
                <w:szCs w:val="16"/>
              </w:rPr>
              <w:t>1</w:t>
            </w:r>
          </w:p>
        </w:tc>
        <w:tc>
          <w:tcPr>
            <w:tcW w:w="615" w:type="dxa"/>
            <w:tcBorders>
              <w:bottom w:val="single" w:sz="12" w:space="0" w:color="auto"/>
              <w:right w:val="single" w:sz="12" w:space="0" w:color="auto"/>
            </w:tcBorders>
            <w:vAlign w:val="bottom"/>
          </w:tcPr>
          <w:p w14:paraId="3CF4D4CC" w14:textId="77777777" w:rsidR="003D2A84" w:rsidRPr="00182972" w:rsidRDefault="003D2A84" w:rsidP="003D2A84">
            <w:pPr>
              <w:spacing w:after="0"/>
              <w:jc w:val="right"/>
              <w:rPr>
                <w:sz w:val="16"/>
                <w:szCs w:val="16"/>
                <w:lang w:eastAsia="zh-CN"/>
              </w:rPr>
            </w:pPr>
            <w:r w:rsidRPr="00182972">
              <w:rPr>
                <w:rFonts w:ascii="Calibri" w:hAnsi="Calibri"/>
                <w:color w:val="000000"/>
                <w:sz w:val="16"/>
                <w:szCs w:val="16"/>
              </w:rPr>
              <w:t>1</w:t>
            </w:r>
          </w:p>
        </w:tc>
        <w:tc>
          <w:tcPr>
            <w:tcW w:w="615" w:type="dxa"/>
            <w:tcBorders>
              <w:left w:val="single" w:sz="12" w:space="0" w:color="auto"/>
              <w:bottom w:val="single" w:sz="12" w:space="0" w:color="auto"/>
            </w:tcBorders>
            <w:vAlign w:val="bottom"/>
          </w:tcPr>
          <w:p w14:paraId="179457F9" w14:textId="77777777" w:rsidR="003D2A84" w:rsidRPr="00182972" w:rsidRDefault="003D2A84" w:rsidP="003D2A84">
            <w:pPr>
              <w:spacing w:after="0"/>
              <w:jc w:val="right"/>
              <w:rPr>
                <w:sz w:val="16"/>
                <w:szCs w:val="16"/>
                <w:lang w:eastAsia="zh-CN"/>
              </w:rPr>
            </w:pPr>
            <w:r w:rsidRPr="00182972">
              <w:rPr>
                <w:rFonts w:ascii="Calibri" w:hAnsi="Calibri"/>
                <w:color w:val="000000"/>
                <w:sz w:val="16"/>
                <w:szCs w:val="16"/>
              </w:rPr>
              <w:t>1</w:t>
            </w:r>
          </w:p>
        </w:tc>
        <w:tc>
          <w:tcPr>
            <w:tcW w:w="615" w:type="dxa"/>
            <w:tcBorders>
              <w:bottom w:val="single" w:sz="12" w:space="0" w:color="auto"/>
            </w:tcBorders>
            <w:vAlign w:val="bottom"/>
          </w:tcPr>
          <w:p w14:paraId="30FFB856" w14:textId="77777777" w:rsidR="003D2A84" w:rsidRPr="00182972" w:rsidRDefault="003D2A84" w:rsidP="003D2A84">
            <w:pPr>
              <w:spacing w:after="0"/>
              <w:jc w:val="right"/>
              <w:rPr>
                <w:sz w:val="16"/>
                <w:szCs w:val="16"/>
                <w:lang w:eastAsia="zh-CN"/>
              </w:rPr>
            </w:pPr>
            <w:r w:rsidRPr="00182972">
              <w:rPr>
                <w:rFonts w:ascii="Calibri" w:hAnsi="Calibri"/>
                <w:color w:val="000000"/>
                <w:sz w:val="16"/>
                <w:szCs w:val="16"/>
              </w:rPr>
              <w:t>1</w:t>
            </w:r>
          </w:p>
        </w:tc>
        <w:tc>
          <w:tcPr>
            <w:tcW w:w="615" w:type="dxa"/>
            <w:tcBorders>
              <w:bottom w:val="single" w:sz="12" w:space="0" w:color="auto"/>
            </w:tcBorders>
            <w:vAlign w:val="bottom"/>
          </w:tcPr>
          <w:p w14:paraId="5D4F7CA7" w14:textId="77777777" w:rsidR="003D2A84" w:rsidRPr="00182972" w:rsidRDefault="003D2A84" w:rsidP="003D2A84">
            <w:pPr>
              <w:spacing w:after="0"/>
              <w:jc w:val="right"/>
              <w:rPr>
                <w:sz w:val="16"/>
                <w:szCs w:val="16"/>
                <w:lang w:eastAsia="zh-CN"/>
              </w:rPr>
            </w:pPr>
            <w:r w:rsidRPr="00182972">
              <w:rPr>
                <w:rFonts w:ascii="Calibri" w:hAnsi="Calibri"/>
                <w:color w:val="000000"/>
                <w:sz w:val="16"/>
                <w:szCs w:val="16"/>
              </w:rPr>
              <w:t>1</w:t>
            </w:r>
          </w:p>
        </w:tc>
        <w:tc>
          <w:tcPr>
            <w:tcW w:w="615" w:type="dxa"/>
            <w:tcBorders>
              <w:bottom w:val="single" w:sz="12" w:space="0" w:color="auto"/>
              <w:right w:val="single" w:sz="12" w:space="0" w:color="auto"/>
            </w:tcBorders>
            <w:vAlign w:val="bottom"/>
          </w:tcPr>
          <w:p w14:paraId="4D6E0276" w14:textId="77777777" w:rsidR="003D2A84" w:rsidRPr="00182972" w:rsidRDefault="003D2A84" w:rsidP="003D2A84">
            <w:pPr>
              <w:spacing w:after="0"/>
              <w:jc w:val="right"/>
              <w:rPr>
                <w:sz w:val="16"/>
                <w:szCs w:val="16"/>
                <w:lang w:eastAsia="zh-CN"/>
              </w:rPr>
            </w:pPr>
            <w:r w:rsidRPr="00182972">
              <w:rPr>
                <w:rFonts w:ascii="Calibri" w:hAnsi="Calibri"/>
                <w:color w:val="000000"/>
                <w:sz w:val="16"/>
                <w:szCs w:val="16"/>
              </w:rPr>
              <w:t>1</w:t>
            </w:r>
          </w:p>
        </w:tc>
      </w:tr>
      <w:tr w:rsidR="003D2A84" w14:paraId="57FD106F" w14:textId="77777777" w:rsidTr="003019FF">
        <w:tc>
          <w:tcPr>
            <w:tcW w:w="2064" w:type="dxa"/>
            <w:tcBorders>
              <w:top w:val="single" w:sz="12" w:space="0" w:color="auto"/>
              <w:left w:val="single" w:sz="12" w:space="0" w:color="auto"/>
              <w:right w:val="single" w:sz="12" w:space="0" w:color="auto"/>
            </w:tcBorders>
            <w:vAlign w:val="bottom"/>
          </w:tcPr>
          <w:p w14:paraId="7E546AE8" w14:textId="77777777" w:rsidR="003D2A84" w:rsidRPr="00A861D7" w:rsidRDefault="003D2A84" w:rsidP="009A6094">
            <w:pPr>
              <w:spacing w:after="0"/>
              <w:rPr>
                <w:sz w:val="16"/>
                <w:szCs w:val="16"/>
                <w:lang w:eastAsia="zh-CN"/>
              </w:rPr>
            </w:pPr>
            <w:r w:rsidRPr="00A861D7">
              <w:rPr>
                <w:rFonts w:ascii="Calibri" w:hAnsi="Calibri"/>
                <w:color w:val="000000"/>
                <w:sz w:val="16"/>
                <w:szCs w:val="16"/>
              </w:rPr>
              <w:t>Propafation RTT [ms]</w:t>
            </w:r>
          </w:p>
        </w:tc>
        <w:tc>
          <w:tcPr>
            <w:tcW w:w="524" w:type="dxa"/>
            <w:tcBorders>
              <w:top w:val="single" w:sz="12" w:space="0" w:color="auto"/>
            </w:tcBorders>
            <w:vAlign w:val="bottom"/>
          </w:tcPr>
          <w:p w14:paraId="07F7E355" w14:textId="1B508449" w:rsidR="003D2A84" w:rsidRPr="00A861D7" w:rsidRDefault="003D2A84" w:rsidP="003D2A84">
            <w:pPr>
              <w:spacing w:after="0"/>
              <w:jc w:val="right"/>
              <w:rPr>
                <w:rFonts w:ascii="Calibri" w:hAnsi="Calibri"/>
                <w:color w:val="000000"/>
                <w:sz w:val="16"/>
                <w:szCs w:val="16"/>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02</w:t>
            </w:r>
          </w:p>
        </w:tc>
        <w:tc>
          <w:tcPr>
            <w:tcW w:w="525" w:type="dxa"/>
            <w:tcBorders>
              <w:top w:val="single" w:sz="12" w:space="0" w:color="auto"/>
              <w:right w:val="single" w:sz="12" w:space="0" w:color="auto"/>
            </w:tcBorders>
            <w:vAlign w:val="bottom"/>
          </w:tcPr>
          <w:p w14:paraId="1F2DECBF" w14:textId="56C62ADD"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02</w:t>
            </w:r>
          </w:p>
        </w:tc>
        <w:tc>
          <w:tcPr>
            <w:tcW w:w="615" w:type="dxa"/>
            <w:tcBorders>
              <w:top w:val="single" w:sz="12" w:space="0" w:color="auto"/>
            </w:tcBorders>
            <w:vAlign w:val="bottom"/>
          </w:tcPr>
          <w:p w14:paraId="2A42511D" w14:textId="68F843B2"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right w:val="single" w:sz="12" w:space="0" w:color="auto"/>
            </w:tcBorders>
            <w:vAlign w:val="bottom"/>
          </w:tcPr>
          <w:p w14:paraId="4D2E8706" w14:textId="09E596F8"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left w:val="single" w:sz="12" w:space="0" w:color="auto"/>
            </w:tcBorders>
            <w:vAlign w:val="bottom"/>
          </w:tcPr>
          <w:p w14:paraId="0CFEC195" w14:textId="0FA1DDA6"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tcBorders>
            <w:vAlign w:val="bottom"/>
          </w:tcPr>
          <w:p w14:paraId="245520C9" w14:textId="35FC69A8"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tcBorders>
            <w:vAlign w:val="bottom"/>
          </w:tcPr>
          <w:p w14:paraId="70D78693" w14:textId="2D7C7F61"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right w:val="single" w:sz="12" w:space="0" w:color="auto"/>
            </w:tcBorders>
            <w:vAlign w:val="bottom"/>
          </w:tcPr>
          <w:p w14:paraId="1752A127" w14:textId="6420D6FD"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r>
      <w:tr w:rsidR="003D2A84" w14:paraId="36848371" w14:textId="77777777" w:rsidTr="003019FF">
        <w:tc>
          <w:tcPr>
            <w:tcW w:w="2064" w:type="dxa"/>
            <w:tcBorders>
              <w:left w:val="single" w:sz="12" w:space="0" w:color="auto"/>
              <w:right w:val="single" w:sz="12" w:space="0" w:color="auto"/>
            </w:tcBorders>
            <w:vAlign w:val="bottom"/>
          </w:tcPr>
          <w:p w14:paraId="226C662A" w14:textId="77777777" w:rsidR="003D2A84" w:rsidRPr="00A861D7" w:rsidRDefault="003D2A84" w:rsidP="009A6094">
            <w:pPr>
              <w:spacing w:after="0"/>
              <w:rPr>
                <w:rFonts w:ascii="Calibri" w:hAnsi="Calibri"/>
                <w:color w:val="000000"/>
                <w:sz w:val="16"/>
                <w:szCs w:val="16"/>
              </w:rPr>
            </w:pPr>
            <w:r w:rsidRPr="00A861D7">
              <w:rPr>
                <w:rFonts w:ascii="Calibri" w:hAnsi="Calibri"/>
                <w:color w:val="000000"/>
                <w:sz w:val="16"/>
                <w:szCs w:val="16"/>
              </w:rPr>
              <w:t>Data transmission time [ms]</w:t>
            </w:r>
          </w:p>
        </w:tc>
        <w:tc>
          <w:tcPr>
            <w:tcW w:w="524" w:type="dxa"/>
            <w:vAlign w:val="bottom"/>
          </w:tcPr>
          <w:p w14:paraId="5CD9CC97" w14:textId="25C55122" w:rsidR="003D2A84" w:rsidRPr="00A861D7" w:rsidRDefault="003D2A84" w:rsidP="003D2A84">
            <w:pPr>
              <w:spacing w:after="0"/>
              <w:jc w:val="right"/>
              <w:rPr>
                <w:rFonts w:ascii="Calibri" w:hAnsi="Calibri"/>
                <w:color w:val="000000"/>
                <w:sz w:val="16"/>
                <w:szCs w:val="16"/>
              </w:rPr>
            </w:pPr>
            <w:r>
              <w:rPr>
                <w:rFonts w:ascii="Calibri" w:hAnsi="Calibri"/>
                <w:color w:val="000000"/>
                <w:sz w:val="16"/>
                <w:szCs w:val="16"/>
              </w:rPr>
              <w:t>0.</w:t>
            </w:r>
            <w:r w:rsidRPr="00A861D7">
              <w:rPr>
                <w:rFonts w:ascii="Calibri" w:hAnsi="Calibri"/>
                <w:color w:val="000000"/>
                <w:sz w:val="16"/>
                <w:szCs w:val="16"/>
              </w:rPr>
              <w:t>5</w:t>
            </w:r>
          </w:p>
        </w:tc>
        <w:tc>
          <w:tcPr>
            <w:tcW w:w="525" w:type="dxa"/>
            <w:tcBorders>
              <w:right w:val="single" w:sz="12" w:space="0" w:color="auto"/>
            </w:tcBorders>
            <w:vAlign w:val="bottom"/>
          </w:tcPr>
          <w:p w14:paraId="54B8E04B" w14:textId="10E43448"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5</w:t>
            </w:r>
          </w:p>
        </w:tc>
        <w:tc>
          <w:tcPr>
            <w:tcW w:w="615" w:type="dxa"/>
            <w:vAlign w:val="bottom"/>
          </w:tcPr>
          <w:p w14:paraId="11906E0F" w14:textId="4F5E85E8"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right w:val="single" w:sz="12" w:space="0" w:color="auto"/>
            </w:tcBorders>
            <w:vAlign w:val="bottom"/>
          </w:tcPr>
          <w:p w14:paraId="6CDAE10E" w14:textId="6078B299"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left w:val="single" w:sz="12" w:space="0" w:color="auto"/>
            </w:tcBorders>
            <w:vAlign w:val="bottom"/>
          </w:tcPr>
          <w:p w14:paraId="23F8CB5A" w14:textId="6FE8017D"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1A9DF984" w14:textId="0E75E641"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3979EACF" w14:textId="465FC6E6"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right w:val="single" w:sz="12" w:space="0" w:color="auto"/>
            </w:tcBorders>
            <w:vAlign w:val="bottom"/>
          </w:tcPr>
          <w:p w14:paraId="1531E756" w14:textId="31037F41"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r>
      <w:tr w:rsidR="003D2A84" w14:paraId="6A9892CD" w14:textId="77777777" w:rsidTr="003019FF">
        <w:tc>
          <w:tcPr>
            <w:tcW w:w="2064" w:type="dxa"/>
            <w:tcBorders>
              <w:left w:val="single" w:sz="12" w:space="0" w:color="auto"/>
              <w:right w:val="single" w:sz="12" w:space="0" w:color="auto"/>
            </w:tcBorders>
            <w:vAlign w:val="bottom"/>
          </w:tcPr>
          <w:p w14:paraId="14B35E8B" w14:textId="77777777" w:rsidR="003D2A84" w:rsidRPr="00A861D7" w:rsidRDefault="003D2A84" w:rsidP="009A6094">
            <w:pPr>
              <w:spacing w:after="0"/>
              <w:rPr>
                <w:sz w:val="16"/>
                <w:szCs w:val="16"/>
                <w:lang w:eastAsia="zh-CN"/>
              </w:rPr>
            </w:pPr>
            <w:r w:rsidRPr="00A861D7">
              <w:rPr>
                <w:rFonts w:ascii="Calibri" w:hAnsi="Calibri"/>
                <w:color w:val="000000"/>
                <w:sz w:val="16"/>
                <w:szCs w:val="16"/>
              </w:rPr>
              <w:t>HARQ-ACK duration [ms]</w:t>
            </w:r>
          </w:p>
        </w:tc>
        <w:tc>
          <w:tcPr>
            <w:tcW w:w="524" w:type="dxa"/>
            <w:vAlign w:val="bottom"/>
          </w:tcPr>
          <w:p w14:paraId="22483664" w14:textId="5DCDD7E0" w:rsidR="003D2A84" w:rsidRPr="00A861D7" w:rsidRDefault="003D2A84" w:rsidP="003D2A84">
            <w:pPr>
              <w:spacing w:after="0"/>
              <w:jc w:val="right"/>
              <w:rPr>
                <w:rFonts w:ascii="Calibri" w:hAnsi="Calibri"/>
                <w:color w:val="000000"/>
                <w:sz w:val="16"/>
                <w:szCs w:val="16"/>
              </w:rPr>
            </w:pPr>
            <w:r>
              <w:rPr>
                <w:rFonts w:ascii="Calibri" w:hAnsi="Calibri"/>
                <w:color w:val="000000"/>
                <w:sz w:val="16"/>
                <w:szCs w:val="16"/>
              </w:rPr>
              <w:t>0.</w:t>
            </w:r>
            <w:r w:rsidRPr="00A861D7">
              <w:rPr>
                <w:rFonts w:ascii="Calibri" w:hAnsi="Calibri"/>
                <w:color w:val="000000"/>
                <w:sz w:val="16"/>
                <w:szCs w:val="16"/>
              </w:rPr>
              <w:t>5</w:t>
            </w:r>
          </w:p>
        </w:tc>
        <w:tc>
          <w:tcPr>
            <w:tcW w:w="525" w:type="dxa"/>
            <w:tcBorders>
              <w:right w:val="single" w:sz="12" w:space="0" w:color="auto"/>
            </w:tcBorders>
            <w:vAlign w:val="bottom"/>
          </w:tcPr>
          <w:p w14:paraId="3B9E76C4" w14:textId="1B9B4435"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5</w:t>
            </w:r>
          </w:p>
        </w:tc>
        <w:tc>
          <w:tcPr>
            <w:tcW w:w="615" w:type="dxa"/>
            <w:vAlign w:val="bottom"/>
          </w:tcPr>
          <w:p w14:paraId="077E4A75" w14:textId="27E4CAE7"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right w:val="single" w:sz="12" w:space="0" w:color="auto"/>
            </w:tcBorders>
            <w:vAlign w:val="bottom"/>
          </w:tcPr>
          <w:p w14:paraId="12FB2673" w14:textId="735BF842"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left w:val="single" w:sz="12" w:space="0" w:color="auto"/>
            </w:tcBorders>
            <w:vAlign w:val="bottom"/>
          </w:tcPr>
          <w:p w14:paraId="47FEC93E" w14:textId="56262983"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147B2399" w14:textId="32EAE528"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5311506A" w14:textId="79DC1D36"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right w:val="single" w:sz="12" w:space="0" w:color="auto"/>
            </w:tcBorders>
            <w:vAlign w:val="bottom"/>
          </w:tcPr>
          <w:p w14:paraId="5A46D650" w14:textId="64EBB080"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r>
      <w:tr w:rsidR="003D2A84" w14:paraId="597B376A" w14:textId="77777777" w:rsidTr="003019FF">
        <w:tc>
          <w:tcPr>
            <w:tcW w:w="2064" w:type="dxa"/>
            <w:tcBorders>
              <w:left w:val="single" w:sz="12" w:space="0" w:color="auto"/>
              <w:right w:val="single" w:sz="12" w:space="0" w:color="auto"/>
            </w:tcBorders>
            <w:vAlign w:val="bottom"/>
          </w:tcPr>
          <w:p w14:paraId="7A44B735" w14:textId="77777777" w:rsidR="003D2A84" w:rsidRPr="00A861D7" w:rsidRDefault="003D2A84" w:rsidP="009A6094">
            <w:pPr>
              <w:spacing w:after="0"/>
              <w:rPr>
                <w:sz w:val="16"/>
                <w:szCs w:val="16"/>
                <w:lang w:eastAsia="zh-CN"/>
              </w:rPr>
            </w:pPr>
            <w:r w:rsidRPr="00A861D7">
              <w:rPr>
                <w:rFonts w:ascii="Calibri" w:hAnsi="Calibri"/>
                <w:color w:val="000000"/>
                <w:sz w:val="16"/>
                <w:szCs w:val="16"/>
              </w:rPr>
              <w:t>UE processing time [ms]</w:t>
            </w:r>
          </w:p>
        </w:tc>
        <w:tc>
          <w:tcPr>
            <w:tcW w:w="524" w:type="dxa"/>
          </w:tcPr>
          <w:p w14:paraId="1509A668" w14:textId="0786648F" w:rsidR="003D2A84" w:rsidRPr="003019FF" w:rsidRDefault="003D2A84" w:rsidP="003019FF">
            <w:pPr>
              <w:spacing w:after="0"/>
              <w:jc w:val="right"/>
              <w:rPr>
                <w:rFonts w:asciiTheme="minorHAnsi" w:hAnsiTheme="minorHAnsi"/>
                <w:sz w:val="16"/>
                <w:szCs w:val="16"/>
              </w:rPr>
            </w:pPr>
            <w:r w:rsidRPr="52DC574C">
              <w:rPr>
                <w:rFonts w:asciiTheme="minorHAnsi" w:hAnsiTheme="minorHAnsi"/>
                <w:sz w:val="16"/>
                <w:szCs w:val="16"/>
              </w:rPr>
              <w:t>0.75</w:t>
            </w:r>
          </w:p>
        </w:tc>
        <w:tc>
          <w:tcPr>
            <w:tcW w:w="525" w:type="dxa"/>
            <w:tcBorders>
              <w:right w:val="single" w:sz="12" w:space="0" w:color="auto"/>
            </w:tcBorders>
          </w:tcPr>
          <w:p w14:paraId="0ABF8EB0" w14:textId="48062F74"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0.75</w:t>
            </w:r>
          </w:p>
        </w:tc>
        <w:tc>
          <w:tcPr>
            <w:tcW w:w="615" w:type="dxa"/>
          </w:tcPr>
          <w:p w14:paraId="40CC683E" w14:textId="4D53813E"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0.5</w:t>
            </w:r>
          </w:p>
        </w:tc>
        <w:tc>
          <w:tcPr>
            <w:tcW w:w="615" w:type="dxa"/>
            <w:tcBorders>
              <w:right w:val="single" w:sz="12" w:space="0" w:color="auto"/>
            </w:tcBorders>
          </w:tcPr>
          <w:p w14:paraId="7CC7F37A" w14:textId="57427ED8"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0.5</w:t>
            </w:r>
          </w:p>
        </w:tc>
        <w:tc>
          <w:tcPr>
            <w:tcW w:w="615" w:type="dxa"/>
            <w:tcBorders>
              <w:left w:val="single" w:sz="12" w:space="0" w:color="auto"/>
            </w:tcBorders>
          </w:tcPr>
          <w:p w14:paraId="1DD4912C" w14:textId="4ED9F9CF"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0.375</w:t>
            </w:r>
          </w:p>
        </w:tc>
        <w:tc>
          <w:tcPr>
            <w:tcW w:w="615" w:type="dxa"/>
          </w:tcPr>
          <w:p w14:paraId="7ED21694" w14:textId="198ABB63"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0.375</w:t>
            </w:r>
          </w:p>
        </w:tc>
        <w:tc>
          <w:tcPr>
            <w:tcW w:w="615" w:type="dxa"/>
          </w:tcPr>
          <w:p w14:paraId="5CB9248C" w14:textId="09A6F645"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0.5</w:t>
            </w:r>
          </w:p>
        </w:tc>
        <w:tc>
          <w:tcPr>
            <w:tcW w:w="615" w:type="dxa"/>
            <w:tcBorders>
              <w:right w:val="single" w:sz="12" w:space="0" w:color="auto"/>
            </w:tcBorders>
          </w:tcPr>
          <w:p w14:paraId="45BC0792" w14:textId="3F66B188"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0.5</w:t>
            </w:r>
          </w:p>
        </w:tc>
      </w:tr>
      <w:tr w:rsidR="003D2A84" w14:paraId="37EF73A5" w14:textId="77777777" w:rsidTr="003019FF">
        <w:tc>
          <w:tcPr>
            <w:tcW w:w="2064" w:type="dxa"/>
            <w:tcBorders>
              <w:left w:val="single" w:sz="12" w:space="0" w:color="auto"/>
              <w:right w:val="single" w:sz="12" w:space="0" w:color="auto"/>
            </w:tcBorders>
            <w:vAlign w:val="bottom"/>
          </w:tcPr>
          <w:p w14:paraId="6709D35E" w14:textId="77777777" w:rsidR="003D2A84" w:rsidRPr="00A861D7" w:rsidRDefault="003D2A84" w:rsidP="009A6094">
            <w:pPr>
              <w:spacing w:after="0"/>
              <w:rPr>
                <w:sz w:val="16"/>
                <w:szCs w:val="16"/>
                <w:lang w:eastAsia="zh-CN"/>
              </w:rPr>
            </w:pPr>
            <w:r>
              <w:rPr>
                <w:rFonts w:ascii="Calibri" w:hAnsi="Calibri"/>
                <w:color w:val="000000"/>
                <w:sz w:val="16"/>
                <w:szCs w:val="16"/>
              </w:rPr>
              <w:t>g</w:t>
            </w:r>
            <w:r w:rsidRPr="00A861D7">
              <w:rPr>
                <w:rFonts w:ascii="Calibri" w:hAnsi="Calibri"/>
                <w:color w:val="000000"/>
                <w:sz w:val="16"/>
                <w:szCs w:val="16"/>
              </w:rPr>
              <w:t>NB processing time [ms]</w:t>
            </w:r>
          </w:p>
        </w:tc>
        <w:tc>
          <w:tcPr>
            <w:tcW w:w="524" w:type="dxa"/>
          </w:tcPr>
          <w:p w14:paraId="27B0357E" w14:textId="5B1988B1" w:rsidR="003D2A84" w:rsidRPr="003019FF" w:rsidRDefault="003D2A84" w:rsidP="003019FF">
            <w:pPr>
              <w:spacing w:after="0"/>
              <w:jc w:val="right"/>
              <w:rPr>
                <w:rFonts w:asciiTheme="minorHAnsi" w:hAnsiTheme="minorHAnsi"/>
                <w:sz w:val="16"/>
                <w:szCs w:val="16"/>
              </w:rPr>
            </w:pPr>
            <w:r w:rsidRPr="52DC574C">
              <w:rPr>
                <w:rFonts w:asciiTheme="minorHAnsi" w:hAnsiTheme="minorHAnsi"/>
                <w:sz w:val="16"/>
                <w:szCs w:val="16"/>
              </w:rPr>
              <w:t>1.25</w:t>
            </w:r>
          </w:p>
        </w:tc>
        <w:tc>
          <w:tcPr>
            <w:tcW w:w="525" w:type="dxa"/>
            <w:tcBorders>
              <w:right w:val="single" w:sz="12" w:space="0" w:color="auto"/>
            </w:tcBorders>
          </w:tcPr>
          <w:p w14:paraId="4F2A374C" w14:textId="0AF6B90C"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1.25</w:t>
            </w:r>
          </w:p>
        </w:tc>
        <w:tc>
          <w:tcPr>
            <w:tcW w:w="615" w:type="dxa"/>
          </w:tcPr>
          <w:p w14:paraId="52E926B1" w14:textId="42842430"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0.75</w:t>
            </w:r>
          </w:p>
        </w:tc>
        <w:tc>
          <w:tcPr>
            <w:tcW w:w="615" w:type="dxa"/>
            <w:tcBorders>
              <w:right w:val="single" w:sz="12" w:space="0" w:color="auto"/>
            </w:tcBorders>
          </w:tcPr>
          <w:p w14:paraId="557E2D17" w14:textId="0D72CE32"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0.75</w:t>
            </w:r>
          </w:p>
        </w:tc>
        <w:tc>
          <w:tcPr>
            <w:tcW w:w="615" w:type="dxa"/>
            <w:tcBorders>
              <w:left w:val="single" w:sz="12" w:space="0" w:color="auto"/>
            </w:tcBorders>
          </w:tcPr>
          <w:p w14:paraId="6494AE8F" w14:textId="742EADEB"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0.5</w:t>
            </w:r>
          </w:p>
        </w:tc>
        <w:tc>
          <w:tcPr>
            <w:tcW w:w="615" w:type="dxa"/>
          </w:tcPr>
          <w:p w14:paraId="36F990AC" w14:textId="65802587"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0.5</w:t>
            </w:r>
          </w:p>
        </w:tc>
        <w:tc>
          <w:tcPr>
            <w:tcW w:w="615" w:type="dxa"/>
          </w:tcPr>
          <w:p w14:paraId="1F2FDF78" w14:textId="4807960A"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0.75</w:t>
            </w:r>
          </w:p>
        </w:tc>
        <w:tc>
          <w:tcPr>
            <w:tcW w:w="615" w:type="dxa"/>
            <w:tcBorders>
              <w:right w:val="single" w:sz="12" w:space="0" w:color="auto"/>
            </w:tcBorders>
          </w:tcPr>
          <w:p w14:paraId="0A9CAEED" w14:textId="22A8783B"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0.75</w:t>
            </w:r>
          </w:p>
        </w:tc>
      </w:tr>
      <w:tr w:rsidR="003D2A84" w14:paraId="5CBB5DF7" w14:textId="77777777" w:rsidTr="003019FF">
        <w:tc>
          <w:tcPr>
            <w:tcW w:w="2064" w:type="dxa"/>
            <w:tcBorders>
              <w:left w:val="single" w:sz="12" w:space="0" w:color="auto"/>
              <w:bottom w:val="single" w:sz="12" w:space="0" w:color="auto"/>
              <w:right w:val="single" w:sz="12" w:space="0" w:color="auto"/>
            </w:tcBorders>
            <w:vAlign w:val="bottom"/>
          </w:tcPr>
          <w:p w14:paraId="78344798" w14:textId="77777777" w:rsidR="003D2A84" w:rsidRPr="00A861D7" w:rsidRDefault="003D2A84" w:rsidP="009A6094">
            <w:pPr>
              <w:spacing w:after="0"/>
              <w:rPr>
                <w:sz w:val="16"/>
                <w:szCs w:val="16"/>
                <w:lang w:eastAsia="zh-CN"/>
              </w:rPr>
            </w:pPr>
            <w:r w:rsidRPr="00A861D7">
              <w:rPr>
                <w:rFonts w:ascii="Calibri" w:hAnsi="Calibri"/>
                <w:color w:val="000000"/>
                <w:sz w:val="16"/>
                <w:szCs w:val="16"/>
              </w:rPr>
              <w:t>FH 2-way delay [ms]</w:t>
            </w:r>
          </w:p>
        </w:tc>
        <w:tc>
          <w:tcPr>
            <w:tcW w:w="524" w:type="dxa"/>
            <w:tcBorders>
              <w:bottom w:val="single" w:sz="12" w:space="0" w:color="auto"/>
            </w:tcBorders>
          </w:tcPr>
          <w:p w14:paraId="73A08A78" w14:textId="09A03F78" w:rsidR="003D2A84" w:rsidRPr="003019FF" w:rsidRDefault="003D2A84" w:rsidP="003019FF">
            <w:pPr>
              <w:spacing w:after="0"/>
              <w:jc w:val="right"/>
              <w:rPr>
                <w:rFonts w:asciiTheme="minorHAnsi" w:hAnsiTheme="minorHAnsi"/>
                <w:sz w:val="16"/>
                <w:szCs w:val="16"/>
              </w:rPr>
            </w:pPr>
            <w:r w:rsidRPr="52DC574C">
              <w:rPr>
                <w:rFonts w:asciiTheme="minorHAnsi" w:hAnsiTheme="minorHAnsi"/>
                <w:sz w:val="16"/>
                <w:szCs w:val="16"/>
              </w:rPr>
              <w:t>1</w:t>
            </w:r>
          </w:p>
        </w:tc>
        <w:tc>
          <w:tcPr>
            <w:tcW w:w="525" w:type="dxa"/>
            <w:tcBorders>
              <w:bottom w:val="single" w:sz="12" w:space="0" w:color="auto"/>
              <w:right w:val="single" w:sz="12" w:space="0" w:color="auto"/>
            </w:tcBorders>
          </w:tcPr>
          <w:p w14:paraId="34C49898" w14:textId="2E00E6BC"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1</w:t>
            </w:r>
          </w:p>
        </w:tc>
        <w:tc>
          <w:tcPr>
            <w:tcW w:w="615" w:type="dxa"/>
            <w:tcBorders>
              <w:bottom w:val="single" w:sz="12" w:space="0" w:color="auto"/>
            </w:tcBorders>
          </w:tcPr>
          <w:p w14:paraId="17A8A08D" w14:textId="12841FFC"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1</w:t>
            </w:r>
          </w:p>
        </w:tc>
        <w:tc>
          <w:tcPr>
            <w:tcW w:w="615" w:type="dxa"/>
            <w:tcBorders>
              <w:bottom w:val="single" w:sz="12" w:space="0" w:color="auto"/>
              <w:right w:val="single" w:sz="12" w:space="0" w:color="auto"/>
            </w:tcBorders>
          </w:tcPr>
          <w:p w14:paraId="3B23FFB7" w14:textId="71CBD1D9"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1</w:t>
            </w:r>
          </w:p>
        </w:tc>
        <w:tc>
          <w:tcPr>
            <w:tcW w:w="615" w:type="dxa"/>
            <w:tcBorders>
              <w:left w:val="single" w:sz="12" w:space="0" w:color="auto"/>
              <w:bottom w:val="single" w:sz="12" w:space="0" w:color="auto"/>
            </w:tcBorders>
          </w:tcPr>
          <w:p w14:paraId="6F15D5B0" w14:textId="333E60BA"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1</w:t>
            </w:r>
          </w:p>
        </w:tc>
        <w:tc>
          <w:tcPr>
            <w:tcW w:w="615" w:type="dxa"/>
            <w:tcBorders>
              <w:bottom w:val="single" w:sz="12" w:space="0" w:color="auto"/>
            </w:tcBorders>
          </w:tcPr>
          <w:p w14:paraId="33B3A258" w14:textId="7B1192D0"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1</w:t>
            </w:r>
          </w:p>
        </w:tc>
        <w:tc>
          <w:tcPr>
            <w:tcW w:w="615" w:type="dxa"/>
            <w:tcBorders>
              <w:bottom w:val="single" w:sz="12" w:space="0" w:color="auto"/>
            </w:tcBorders>
          </w:tcPr>
          <w:p w14:paraId="0D67E8E8" w14:textId="6C3A2E32"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1</w:t>
            </w:r>
          </w:p>
        </w:tc>
        <w:tc>
          <w:tcPr>
            <w:tcW w:w="615" w:type="dxa"/>
            <w:tcBorders>
              <w:bottom w:val="single" w:sz="12" w:space="0" w:color="auto"/>
              <w:right w:val="single" w:sz="12" w:space="0" w:color="auto"/>
            </w:tcBorders>
          </w:tcPr>
          <w:p w14:paraId="665EC513" w14:textId="0F0B1F17"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1</w:t>
            </w:r>
          </w:p>
        </w:tc>
      </w:tr>
      <w:tr w:rsidR="003D2A84" w14:paraId="620EE8B5" w14:textId="77777777" w:rsidTr="003019FF">
        <w:tc>
          <w:tcPr>
            <w:tcW w:w="2064" w:type="dxa"/>
            <w:tcBorders>
              <w:top w:val="single" w:sz="12" w:space="0" w:color="auto"/>
              <w:left w:val="single" w:sz="12" w:space="0" w:color="auto"/>
              <w:right w:val="single" w:sz="12" w:space="0" w:color="auto"/>
            </w:tcBorders>
            <w:vAlign w:val="bottom"/>
          </w:tcPr>
          <w:p w14:paraId="1B10B46F" w14:textId="77777777" w:rsidR="003D2A84" w:rsidRPr="00182972" w:rsidRDefault="003D2A84" w:rsidP="009A6094">
            <w:pPr>
              <w:spacing w:after="0"/>
              <w:rPr>
                <w:sz w:val="16"/>
                <w:szCs w:val="16"/>
                <w:lang w:eastAsia="zh-CN"/>
              </w:rPr>
            </w:pPr>
            <w:r w:rsidRPr="00182972">
              <w:rPr>
                <w:rFonts w:ascii="Calibri" w:hAnsi="Calibri"/>
                <w:b/>
                <w:bCs/>
                <w:color w:val="000000"/>
                <w:sz w:val="16"/>
                <w:szCs w:val="16"/>
              </w:rPr>
              <w:t>Loop RTT</w:t>
            </w:r>
            <w:r>
              <w:rPr>
                <w:rFonts w:ascii="Calibri" w:hAnsi="Calibri"/>
                <w:b/>
                <w:bCs/>
                <w:color w:val="000000"/>
                <w:sz w:val="16"/>
                <w:szCs w:val="16"/>
              </w:rPr>
              <w:t xml:space="preserve"> [ms]</w:t>
            </w:r>
          </w:p>
        </w:tc>
        <w:tc>
          <w:tcPr>
            <w:tcW w:w="524" w:type="dxa"/>
            <w:tcBorders>
              <w:top w:val="single" w:sz="12" w:space="0" w:color="auto"/>
            </w:tcBorders>
          </w:tcPr>
          <w:p w14:paraId="4FE85788" w14:textId="37DFA0AB" w:rsidR="003D2A84" w:rsidRPr="003019FF" w:rsidRDefault="003D2A84" w:rsidP="003019FF">
            <w:pPr>
              <w:spacing w:after="0"/>
              <w:jc w:val="right"/>
              <w:rPr>
                <w:rFonts w:asciiTheme="minorHAnsi" w:hAnsiTheme="minorHAnsi"/>
                <w:sz w:val="16"/>
                <w:szCs w:val="16"/>
              </w:rPr>
            </w:pPr>
            <w:r w:rsidRPr="52DC574C">
              <w:rPr>
                <w:rFonts w:asciiTheme="minorHAnsi" w:hAnsiTheme="minorHAnsi"/>
                <w:sz w:val="16"/>
                <w:szCs w:val="16"/>
              </w:rPr>
              <w:t xml:space="preserve">4.02 </w:t>
            </w:r>
          </w:p>
        </w:tc>
        <w:tc>
          <w:tcPr>
            <w:tcW w:w="525" w:type="dxa"/>
            <w:tcBorders>
              <w:top w:val="single" w:sz="12" w:space="0" w:color="auto"/>
              <w:right w:val="single" w:sz="12" w:space="0" w:color="auto"/>
            </w:tcBorders>
          </w:tcPr>
          <w:p w14:paraId="1DC88FA5" w14:textId="4878FB79"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 xml:space="preserve">4.02 </w:t>
            </w:r>
          </w:p>
        </w:tc>
        <w:tc>
          <w:tcPr>
            <w:tcW w:w="615" w:type="dxa"/>
            <w:tcBorders>
              <w:top w:val="single" w:sz="12" w:space="0" w:color="auto"/>
            </w:tcBorders>
          </w:tcPr>
          <w:p w14:paraId="447888CE" w14:textId="10224989"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 xml:space="preserve">2.76 </w:t>
            </w:r>
          </w:p>
        </w:tc>
        <w:tc>
          <w:tcPr>
            <w:tcW w:w="615" w:type="dxa"/>
            <w:tcBorders>
              <w:top w:val="single" w:sz="12" w:space="0" w:color="auto"/>
              <w:right w:val="single" w:sz="12" w:space="0" w:color="auto"/>
            </w:tcBorders>
          </w:tcPr>
          <w:p w14:paraId="5F251C71" w14:textId="568A24C2"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 xml:space="preserve">2.76 </w:t>
            </w:r>
          </w:p>
        </w:tc>
        <w:tc>
          <w:tcPr>
            <w:tcW w:w="615" w:type="dxa"/>
            <w:tcBorders>
              <w:top w:val="single" w:sz="12" w:space="0" w:color="auto"/>
              <w:left w:val="single" w:sz="12" w:space="0" w:color="auto"/>
            </w:tcBorders>
          </w:tcPr>
          <w:p w14:paraId="2DC0F5DE" w14:textId="7C54E161"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 xml:space="preserve">2.13 </w:t>
            </w:r>
          </w:p>
        </w:tc>
        <w:tc>
          <w:tcPr>
            <w:tcW w:w="615" w:type="dxa"/>
            <w:tcBorders>
              <w:top w:val="single" w:sz="12" w:space="0" w:color="auto"/>
            </w:tcBorders>
          </w:tcPr>
          <w:p w14:paraId="5EA4FED1" w14:textId="3352C212"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 xml:space="preserve">2.13 </w:t>
            </w:r>
          </w:p>
        </w:tc>
        <w:tc>
          <w:tcPr>
            <w:tcW w:w="615" w:type="dxa"/>
            <w:tcBorders>
              <w:top w:val="single" w:sz="12" w:space="0" w:color="auto"/>
            </w:tcBorders>
          </w:tcPr>
          <w:p w14:paraId="7AD08877" w14:textId="601CBBA9"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 xml:space="preserve">2.76 </w:t>
            </w:r>
          </w:p>
        </w:tc>
        <w:tc>
          <w:tcPr>
            <w:tcW w:w="615" w:type="dxa"/>
            <w:tcBorders>
              <w:top w:val="single" w:sz="12" w:space="0" w:color="auto"/>
              <w:right w:val="single" w:sz="12" w:space="0" w:color="auto"/>
            </w:tcBorders>
          </w:tcPr>
          <w:p w14:paraId="2D1036B1" w14:textId="577EB618"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 xml:space="preserve">2.76 </w:t>
            </w:r>
          </w:p>
        </w:tc>
      </w:tr>
      <w:tr w:rsidR="003D2A84" w14:paraId="0B7A196A" w14:textId="77777777" w:rsidTr="003019FF">
        <w:tc>
          <w:tcPr>
            <w:tcW w:w="2064" w:type="dxa"/>
            <w:tcBorders>
              <w:left w:val="single" w:sz="12" w:space="0" w:color="auto"/>
              <w:bottom w:val="single" w:sz="12" w:space="0" w:color="auto"/>
              <w:right w:val="single" w:sz="12" w:space="0" w:color="auto"/>
            </w:tcBorders>
            <w:vAlign w:val="bottom"/>
          </w:tcPr>
          <w:p w14:paraId="710261BC" w14:textId="77777777" w:rsidR="003D2A84" w:rsidRPr="00182972" w:rsidRDefault="003D2A84" w:rsidP="009A6094">
            <w:pPr>
              <w:spacing w:after="0"/>
              <w:rPr>
                <w:sz w:val="16"/>
                <w:szCs w:val="16"/>
                <w:lang w:eastAsia="zh-CN"/>
              </w:rPr>
            </w:pPr>
            <w:r w:rsidRPr="00182972">
              <w:rPr>
                <w:rFonts w:ascii="Calibri" w:hAnsi="Calibri"/>
                <w:color w:val="000000"/>
                <w:sz w:val="16"/>
                <w:szCs w:val="16"/>
              </w:rPr>
              <w:t>Margin</w:t>
            </w:r>
            <w:r>
              <w:rPr>
                <w:rFonts w:ascii="Calibri" w:hAnsi="Calibri"/>
                <w:color w:val="000000"/>
                <w:sz w:val="16"/>
                <w:szCs w:val="16"/>
              </w:rPr>
              <w:t>[ms]</w:t>
            </w:r>
          </w:p>
        </w:tc>
        <w:tc>
          <w:tcPr>
            <w:tcW w:w="524" w:type="dxa"/>
            <w:tcBorders>
              <w:bottom w:val="single" w:sz="12" w:space="0" w:color="auto"/>
            </w:tcBorders>
          </w:tcPr>
          <w:p w14:paraId="17241770" w14:textId="0571A892" w:rsidR="003D2A84" w:rsidRPr="003019FF" w:rsidRDefault="003D2A84" w:rsidP="003019FF">
            <w:pPr>
              <w:spacing w:after="0"/>
              <w:jc w:val="right"/>
              <w:rPr>
                <w:rFonts w:asciiTheme="minorHAnsi" w:hAnsiTheme="minorHAnsi"/>
                <w:color w:val="FF0000"/>
                <w:sz w:val="16"/>
                <w:szCs w:val="16"/>
              </w:rPr>
            </w:pPr>
            <w:r w:rsidRPr="52DC574C">
              <w:rPr>
                <w:rFonts w:asciiTheme="minorHAnsi" w:hAnsiTheme="minorHAnsi"/>
                <w:color w:val="FF0000"/>
                <w:sz w:val="16"/>
                <w:szCs w:val="16"/>
              </w:rPr>
              <w:t xml:space="preserve">-0.02 </w:t>
            </w:r>
          </w:p>
        </w:tc>
        <w:tc>
          <w:tcPr>
            <w:tcW w:w="525" w:type="dxa"/>
            <w:tcBorders>
              <w:bottom w:val="single" w:sz="12" w:space="0" w:color="auto"/>
              <w:right w:val="single" w:sz="12" w:space="0" w:color="auto"/>
            </w:tcBorders>
          </w:tcPr>
          <w:p w14:paraId="289E7D88" w14:textId="698F335F"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 xml:space="preserve">3.98 </w:t>
            </w:r>
          </w:p>
        </w:tc>
        <w:tc>
          <w:tcPr>
            <w:tcW w:w="615" w:type="dxa"/>
            <w:tcBorders>
              <w:bottom w:val="single" w:sz="12" w:space="0" w:color="auto"/>
            </w:tcBorders>
          </w:tcPr>
          <w:p w14:paraId="79A9CB2D" w14:textId="099D935F" w:rsidR="003D2A84" w:rsidRPr="003019FF" w:rsidRDefault="003D2A84" w:rsidP="003019FF">
            <w:pPr>
              <w:spacing w:after="0"/>
              <w:jc w:val="right"/>
              <w:rPr>
                <w:rFonts w:asciiTheme="minorHAnsi" w:hAnsiTheme="minorHAnsi"/>
                <w:color w:val="FF0000"/>
                <w:sz w:val="16"/>
                <w:szCs w:val="16"/>
                <w:lang w:eastAsia="zh-CN"/>
              </w:rPr>
            </w:pPr>
            <w:r w:rsidRPr="52DC574C">
              <w:rPr>
                <w:rFonts w:asciiTheme="minorHAnsi" w:hAnsiTheme="minorHAnsi"/>
                <w:color w:val="FF0000"/>
                <w:sz w:val="16"/>
                <w:szCs w:val="16"/>
              </w:rPr>
              <w:t xml:space="preserve">-0.76 </w:t>
            </w:r>
          </w:p>
        </w:tc>
        <w:tc>
          <w:tcPr>
            <w:tcW w:w="615" w:type="dxa"/>
            <w:tcBorders>
              <w:bottom w:val="single" w:sz="12" w:space="0" w:color="auto"/>
              <w:right w:val="single" w:sz="12" w:space="0" w:color="auto"/>
            </w:tcBorders>
          </w:tcPr>
          <w:p w14:paraId="01E47696" w14:textId="01678897"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 xml:space="preserve">1.24 </w:t>
            </w:r>
          </w:p>
        </w:tc>
        <w:tc>
          <w:tcPr>
            <w:tcW w:w="615" w:type="dxa"/>
            <w:tcBorders>
              <w:left w:val="single" w:sz="12" w:space="0" w:color="auto"/>
              <w:bottom w:val="single" w:sz="12" w:space="0" w:color="auto"/>
            </w:tcBorders>
          </w:tcPr>
          <w:p w14:paraId="34A60813" w14:textId="33F3FEC4" w:rsidR="003D2A84" w:rsidRPr="003019FF" w:rsidRDefault="003D2A84" w:rsidP="003019FF">
            <w:pPr>
              <w:spacing w:after="0"/>
              <w:jc w:val="right"/>
              <w:rPr>
                <w:rFonts w:asciiTheme="minorHAnsi" w:hAnsiTheme="minorHAnsi"/>
                <w:color w:val="FF0000"/>
                <w:sz w:val="16"/>
                <w:szCs w:val="16"/>
                <w:lang w:eastAsia="zh-CN"/>
              </w:rPr>
            </w:pPr>
            <w:r w:rsidRPr="52DC574C">
              <w:rPr>
                <w:rFonts w:asciiTheme="minorHAnsi" w:hAnsiTheme="minorHAnsi"/>
                <w:color w:val="FF0000"/>
                <w:sz w:val="16"/>
                <w:szCs w:val="16"/>
              </w:rPr>
              <w:t xml:space="preserve">-1.13 </w:t>
            </w:r>
          </w:p>
        </w:tc>
        <w:tc>
          <w:tcPr>
            <w:tcW w:w="615" w:type="dxa"/>
            <w:tcBorders>
              <w:bottom w:val="single" w:sz="12" w:space="0" w:color="auto"/>
            </w:tcBorders>
          </w:tcPr>
          <w:p w14:paraId="6090817E" w14:textId="29504492" w:rsidR="003D2A84" w:rsidRPr="003019FF" w:rsidRDefault="003D2A84" w:rsidP="003019FF">
            <w:pPr>
              <w:spacing w:after="0"/>
              <w:jc w:val="right"/>
              <w:rPr>
                <w:rFonts w:asciiTheme="minorHAnsi" w:hAnsiTheme="minorHAnsi"/>
                <w:color w:val="FF0000"/>
                <w:sz w:val="16"/>
                <w:szCs w:val="16"/>
                <w:lang w:eastAsia="zh-CN"/>
              </w:rPr>
            </w:pPr>
            <w:r w:rsidRPr="52DC574C">
              <w:rPr>
                <w:rFonts w:asciiTheme="minorHAnsi" w:hAnsiTheme="minorHAnsi"/>
                <w:color w:val="FF0000"/>
                <w:sz w:val="16"/>
                <w:szCs w:val="16"/>
              </w:rPr>
              <w:t xml:space="preserve">-0.13 </w:t>
            </w:r>
          </w:p>
        </w:tc>
        <w:tc>
          <w:tcPr>
            <w:tcW w:w="615" w:type="dxa"/>
            <w:tcBorders>
              <w:bottom w:val="single" w:sz="12" w:space="0" w:color="auto"/>
            </w:tcBorders>
          </w:tcPr>
          <w:p w14:paraId="22C49F48" w14:textId="0B70CD1F" w:rsidR="003D2A84" w:rsidRPr="003019FF" w:rsidRDefault="003D2A84" w:rsidP="003019FF">
            <w:pPr>
              <w:spacing w:after="0"/>
              <w:jc w:val="right"/>
              <w:rPr>
                <w:rFonts w:asciiTheme="minorHAnsi" w:hAnsiTheme="minorHAnsi"/>
                <w:color w:val="FF0000"/>
                <w:sz w:val="16"/>
                <w:szCs w:val="16"/>
                <w:lang w:eastAsia="zh-CN"/>
              </w:rPr>
            </w:pPr>
            <w:r w:rsidRPr="52DC574C">
              <w:rPr>
                <w:rFonts w:asciiTheme="minorHAnsi" w:hAnsiTheme="minorHAnsi"/>
                <w:color w:val="FF0000"/>
                <w:sz w:val="16"/>
                <w:szCs w:val="16"/>
              </w:rPr>
              <w:t xml:space="preserve">-0.76 </w:t>
            </w:r>
          </w:p>
        </w:tc>
        <w:tc>
          <w:tcPr>
            <w:tcW w:w="615" w:type="dxa"/>
            <w:tcBorders>
              <w:bottom w:val="single" w:sz="12" w:space="0" w:color="auto"/>
              <w:right w:val="single" w:sz="12" w:space="0" w:color="auto"/>
            </w:tcBorders>
          </w:tcPr>
          <w:p w14:paraId="6C1F6532" w14:textId="3B97F881"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 xml:space="preserve">1.24 </w:t>
            </w:r>
          </w:p>
        </w:tc>
      </w:tr>
    </w:tbl>
    <w:p w14:paraId="662DC0DC" w14:textId="0CED8CF6" w:rsidR="0086180D" w:rsidRDefault="0086180D" w:rsidP="001C66EE">
      <w:pPr>
        <w:spacing w:after="0"/>
        <w:rPr>
          <w:lang w:eastAsia="zh-CN"/>
        </w:rPr>
      </w:pPr>
    </w:p>
    <w:p w14:paraId="10457B75" w14:textId="576B0B59" w:rsidR="0086180D" w:rsidRDefault="0086180D" w:rsidP="00DC413A">
      <w:pPr>
        <w:jc w:val="both"/>
        <w:rPr>
          <w:lang w:eastAsia="zh-CN"/>
        </w:rPr>
      </w:pPr>
      <w:r>
        <w:rPr>
          <w:lang w:eastAsia="zh-CN"/>
        </w:rPr>
        <w:t>Without yet having agreements on worst-case UE processing time it may be difficult to make the final decisions on the number of HARQ processes, but it does appear that 8 processes won’t be sufficient in all cases to support contiguous transmission to one UE</w:t>
      </w:r>
      <w:r w:rsidR="00BE7D45">
        <w:rPr>
          <w:lang w:eastAsia="zh-CN"/>
        </w:rPr>
        <w:t>.</w:t>
      </w:r>
    </w:p>
    <w:p w14:paraId="4E4575A7" w14:textId="54109D4D" w:rsidR="00AB3139" w:rsidRPr="00DD65F6" w:rsidRDefault="00AB3139" w:rsidP="001C66EE">
      <w:pPr>
        <w:spacing w:line="276" w:lineRule="auto"/>
        <w:jc w:val="both"/>
        <w:rPr>
          <w:i/>
          <w:iCs/>
          <w:lang w:val="en-US"/>
        </w:rPr>
      </w:pPr>
      <w:r w:rsidRPr="00830CA4">
        <w:rPr>
          <w:b/>
          <w:bCs/>
          <w:i/>
          <w:lang w:val="en-US"/>
        </w:rPr>
        <w:t>Proposal #1</w:t>
      </w:r>
      <w:r w:rsidR="00C42656">
        <w:rPr>
          <w:b/>
          <w:bCs/>
          <w:i/>
          <w:lang w:val="en-US"/>
        </w:rPr>
        <w:t>3</w:t>
      </w:r>
      <w:r w:rsidRPr="00830CA4">
        <w:rPr>
          <w:b/>
          <w:bCs/>
          <w:i/>
          <w:lang w:val="en-US"/>
        </w:rPr>
        <w:t>:</w:t>
      </w:r>
      <w:r w:rsidRPr="00E541B0">
        <w:rPr>
          <w:b/>
          <w:bCs/>
          <w:lang w:val="en-US"/>
        </w:rPr>
        <w:t xml:space="preserve"> </w:t>
      </w:r>
      <w:r w:rsidRPr="003252A4">
        <w:rPr>
          <w:i/>
          <w:iCs/>
          <w:lang w:val="en-US"/>
        </w:rPr>
        <w:t>The maximum number of supported HARQ processes per carrier and per MIMO CW is common to all UEs capable of supporting mobile broadband services, and the value is fixed in the specification.</w:t>
      </w:r>
    </w:p>
    <w:p w14:paraId="59BF6973" w14:textId="6900A4EA" w:rsidR="00AB3139" w:rsidRPr="00DD65F6" w:rsidRDefault="00AB3139" w:rsidP="001C66EE">
      <w:pPr>
        <w:spacing w:after="200" w:line="276" w:lineRule="auto"/>
        <w:jc w:val="both"/>
        <w:rPr>
          <w:i/>
          <w:iCs/>
          <w:lang w:val="en-US"/>
        </w:rPr>
      </w:pPr>
      <w:r w:rsidRPr="00830CA4">
        <w:rPr>
          <w:b/>
          <w:bCs/>
          <w:i/>
          <w:lang w:val="en-US"/>
        </w:rPr>
        <w:t>Proposal #1</w:t>
      </w:r>
      <w:r w:rsidR="00C42656">
        <w:rPr>
          <w:b/>
          <w:bCs/>
          <w:i/>
          <w:lang w:val="en-US"/>
        </w:rPr>
        <w:t>4</w:t>
      </w:r>
      <w:r w:rsidRPr="00830CA4">
        <w:rPr>
          <w:b/>
          <w:bCs/>
          <w:i/>
          <w:lang w:val="en-US"/>
        </w:rPr>
        <w:t>:</w:t>
      </w:r>
      <w:r w:rsidRPr="00E541B0">
        <w:rPr>
          <w:b/>
          <w:bCs/>
          <w:lang w:val="en-US"/>
        </w:rPr>
        <w:t xml:space="preserve"> </w:t>
      </w:r>
      <w:r w:rsidRPr="003252A4">
        <w:rPr>
          <w:i/>
          <w:iCs/>
          <w:lang w:val="en-US"/>
        </w:rPr>
        <w:t>Allocate 4 bits for HARQ process number indication per carrier and per MIMO CW in the DCI for both downlink and uplink</w:t>
      </w:r>
      <w:r w:rsidR="008205B2">
        <w:rPr>
          <w:i/>
          <w:iCs/>
          <w:lang w:val="en-US"/>
        </w:rPr>
        <w:t>, and support a maximum of 16 HARQ processes per CW.</w:t>
      </w:r>
    </w:p>
    <w:p w14:paraId="7D2437B9" w14:textId="7A194ECC" w:rsidR="005166E9" w:rsidRPr="00DD65F6" w:rsidRDefault="005166E9" w:rsidP="005166E9">
      <w:pPr>
        <w:pStyle w:val="Heading2"/>
        <w:rPr>
          <w:sz w:val="28"/>
          <w:szCs w:val="28"/>
          <w:lang w:eastAsia="zh-CN"/>
        </w:rPr>
      </w:pPr>
      <w:r>
        <w:rPr>
          <w:sz w:val="28"/>
          <w:szCs w:val="28"/>
          <w:lang w:eastAsia="zh-CN"/>
        </w:rPr>
        <w:t>4.2</w:t>
      </w:r>
      <w:r w:rsidRPr="003252A4">
        <w:rPr>
          <w:sz w:val="28"/>
          <w:szCs w:val="28"/>
          <w:lang w:eastAsia="zh-CN"/>
        </w:rPr>
        <w:t xml:space="preserve">  </w:t>
      </w:r>
      <w:r>
        <w:rPr>
          <w:sz w:val="28"/>
          <w:szCs w:val="28"/>
          <w:lang w:eastAsia="zh-CN"/>
        </w:rPr>
        <w:t>UE processing time relation and relation to m</w:t>
      </w:r>
      <w:r w:rsidRPr="003252A4">
        <w:rPr>
          <w:sz w:val="28"/>
          <w:szCs w:val="28"/>
          <w:lang w:eastAsia="zh-CN"/>
        </w:rPr>
        <w:t>aximum number of HARQ processes</w:t>
      </w:r>
    </w:p>
    <w:p w14:paraId="13DA80DB" w14:textId="15F54741" w:rsidR="005166E9" w:rsidRDefault="005166E9" w:rsidP="001C66EE">
      <w:pPr>
        <w:spacing w:after="120"/>
        <w:jc w:val="both"/>
        <w:rPr>
          <w:lang w:eastAsia="zh-CN"/>
        </w:rPr>
      </w:pPr>
      <w:r>
        <w:rPr>
          <w:lang w:eastAsia="zh-CN"/>
        </w:rPr>
        <w:t xml:space="preserve">The table </w:t>
      </w:r>
      <w:r w:rsidR="008205B2">
        <w:rPr>
          <w:lang w:eastAsia="zh-CN"/>
        </w:rPr>
        <w:t xml:space="preserve">1 </w:t>
      </w:r>
      <w:r>
        <w:rPr>
          <w:lang w:eastAsia="zh-CN"/>
        </w:rPr>
        <w:t xml:space="preserve">in section 4.1 assumed UE processing time </w:t>
      </w:r>
      <w:r w:rsidR="00AB3139">
        <w:rPr>
          <w:lang w:eastAsia="zh-CN"/>
        </w:rPr>
        <w:t>of 0.75 ms for 30 kHz SCS, 0.5 ms for 60 kHz and 0.375 and 0.5 ms for 120 kHz SCS. Observing the UE processing time analysis of RAN1#90 input [6], longer UE processing times were assumed (1.1 ms for 30 kHz, 0.66 ms for 60 kHz and 0.54 ms for 120 kHz SCS) for distributed DMRS. While the UE processing time is a factor in the selectio</w:t>
      </w:r>
      <w:r w:rsidR="00DC413A">
        <w:rPr>
          <w:lang w:eastAsia="zh-CN"/>
        </w:rPr>
        <w:t>n</w:t>
      </w:r>
      <w:r w:rsidR="00AB3139">
        <w:rPr>
          <w:lang w:eastAsia="zh-CN"/>
        </w:rPr>
        <w:t xml:space="preserve"> of the number of HARQ processes for NR, it is even more important for the overall NR performance to support a low baseline UE processing time requirement in general.</w:t>
      </w:r>
    </w:p>
    <w:p w14:paraId="410467E5" w14:textId="4C012749" w:rsidR="00AB3139" w:rsidRDefault="00AB3139" w:rsidP="001C66EE">
      <w:pPr>
        <w:jc w:val="both"/>
        <w:rPr>
          <w:lang w:eastAsia="zh-CN"/>
        </w:rPr>
      </w:pPr>
      <w:r>
        <w:rPr>
          <w:lang w:eastAsia="zh-CN"/>
        </w:rPr>
        <w:t>Observing another RAN1#90 input [7], where two sets of UE processing times are suggested. The distributed DMRS processing time values being the s</w:t>
      </w:r>
      <w:r w:rsidR="008205B2">
        <w:rPr>
          <w:lang w:eastAsia="zh-CN"/>
        </w:rPr>
        <w:t>ame number of symbols for both categories, and still below 1 slot duration leading to similar ms values for 30 kHz as used in the Table 1 calculation, while driving the processing time even below the numbers assumed in the table for higher sub-carrier spacings. Such, more on the low-side UE processing time requirements that are universal to all UE types would be beneficial to the system.</w:t>
      </w:r>
    </w:p>
    <w:p w14:paraId="18D9CC07" w14:textId="25D7BD2A" w:rsidR="00AB3139" w:rsidRPr="001C66EE" w:rsidRDefault="008205B2" w:rsidP="001C66EE">
      <w:pPr>
        <w:overflowPunct/>
        <w:autoSpaceDE/>
        <w:autoSpaceDN/>
        <w:adjustRightInd/>
        <w:jc w:val="both"/>
        <w:textAlignment w:val="auto"/>
        <w:rPr>
          <w:rFonts w:eastAsia="MS Mincho"/>
          <w:b/>
          <w:bCs/>
          <w:i/>
          <w:iCs/>
          <w:lang w:val="en-US" w:eastAsia="ja-JP"/>
        </w:rPr>
      </w:pPr>
      <w:r w:rsidRPr="003252A4">
        <w:rPr>
          <w:rFonts w:eastAsia="MS Mincho"/>
          <w:b/>
          <w:bCs/>
          <w:i/>
          <w:iCs/>
          <w:lang w:val="en-US" w:eastAsia="ja-JP"/>
        </w:rPr>
        <w:t>Proposal #1</w:t>
      </w:r>
      <w:r w:rsidR="00C42656">
        <w:rPr>
          <w:rFonts w:eastAsia="MS Mincho"/>
          <w:b/>
          <w:bCs/>
          <w:i/>
          <w:iCs/>
          <w:lang w:val="en-US" w:eastAsia="ja-JP"/>
        </w:rPr>
        <w:t>5</w:t>
      </w:r>
      <w:r w:rsidRPr="003252A4">
        <w:rPr>
          <w:rFonts w:eastAsia="MS Mincho"/>
          <w:b/>
          <w:bCs/>
          <w:i/>
          <w:iCs/>
          <w:lang w:val="en-US" w:eastAsia="ja-JP"/>
        </w:rPr>
        <w:t xml:space="preserve">: </w:t>
      </w:r>
      <w:r>
        <w:rPr>
          <w:rFonts w:eastAsia="MS Mincho"/>
          <w:i/>
          <w:iCs/>
          <w:lang w:val="en-US" w:eastAsia="ja-JP"/>
        </w:rPr>
        <w:t>Strive for a low UE processing times that are universally applicable to all non-MTC UE types, where feasible</w:t>
      </w:r>
      <w:r w:rsidR="001C66EE">
        <w:rPr>
          <w:rFonts w:eastAsia="MS Mincho"/>
          <w:i/>
          <w:iCs/>
          <w:lang w:val="en-US" w:eastAsia="ja-JP"/>
        </w:rPr>
        <w:t>.</w:t>
      </w:r>
    </w:p>
    <w:p w14:paraId="5C36E3BE" w14:textId="6E728052" w:rsidR="0034111C" w:rsidRDefault="00251EAE">
      <w:pPr>
        <w:pStyle w:val="Heading1"/>
        <w:rPr>
          <w:color w:val="000000"/>
        </w:rPr>
      </w:pPr>
      <w:r>
        <w:rPr>
          <w:color w:val="000000"/>
        </w:rPr>
        <w:t>5</w:t>
      </w:r>
      <w:r w:rsidR="003252A4">
        <w:rPr>
          <w:color w:val="000000"/>
        </w:rPr>
        <w:t xml:space="preserve">  </w:t>
      </w:r>
      <w:r w:rsidR="00EE7FA7" w:rsidRPr="00A51522">
        <w:rPr>
          <w:color w:val="000000"/>
        </w:rPr>
        <w:t>Conclusion</w:t>
      </w:r>
      <w:r w:rsidR="00DB39D4" w:rsidRPr="00A51522">
        <w:rPr>
          <w:color w:val="000000"/>
        </w:rPr>
        <w:t>s</w:t>
      </w:r>
      <w:r w:rsidR="00E37779">
        <w:rPr>
          <w:color w:val="000000"/>
        </w:rPr>
        <w:t xml:space="preserve"> </w:t>
      </w:r>
    </w:p>
    <w:p w14:paraId="10BED68F" w14:textId="1B618B0C" w:rsidR="00F64AFE" w:rsidRDefault="00F64AFE" w:rsidP="00DC413A">
      <w:pPr>
        <w:jc w:val="both"/>
      </w:pPr>
      <w:bookmarkStart w:id="4" w:name="_Hlk492897650"/>
      <w:r>
        <w:t>In this contribution</w:t>
      </w:r>
      <w:r w:rsidR="00CC6A4F">
        <w:t>, we considered</w:t>
      </w:r>
      <w:r>
        <w:t xml:space="preserve"> </w:t>
      </w:r>
      <w:r w:rsidR="0029703E">
        <w:t xml:space="preserve">HARQ feedback timing, HARQ feedback determination and </w:t>
      </w:r>
      <w:r>
        <w:t>number of HARQ processes</w:t>
      </w:r>
      <w:r w:rsidR="00CC6A4F">
        <w:t xml:space="preserve"> and </w:t>
      </w:r>
      <w:r>
        <w:t>made</w:t>
      </w:r>
      <w:r w:rsidR="00CC6A4F">
        <w:t xml:space="preserve"> following proposals</w:t>
      </w:r>
      <w:r>
        <w:t>:</w:t>
      </w:r>
    </w:p>
    <w:p w14:paraId="5AF54EA3" w14:textId="0A94BB3F" w:rsidR="0029703E" w:rsidRPr="0029703E" w:rsidRDefault="0029703E" w:rsidP="0029703E">
      <w:r w:rsidRPr="0029703E">
        <w:t>Proposals</w:t>
      </w:r>
      <w:r>
        <w:t xml:space="preserve"> and observation </w:t>
      </w:r>
      <w:r w:rsidRPr="0029703E">
        <w:t>on the HARQ feedback</w:t>
      </w:r>
      <w:r>
        <w:t xml:space="preserve"> timing</w:t>
      </w:r>
      <w:r w:rsidRPr="0029703E">
        <w:t>:</w:t>
      </w:r>
    </w:p>
    <w:p w14:paraId="75CA6149" w14:textId="77777777" w:rsidR="00812B80" w:rsidRPr="00E57E81" w:rsidRDefault="00812B80" w:rsidP="003019FF">
      <w:pPr>
        <w:overflowPunct/>
        <w:autoSpaceDE/>
        <w:autoSpaceDN/>
        <w:adjustRightInd/>
        <w:spacing w:after="120"/>
        <w:jc w:val="both"/>
        <w:textAlignment w:val="auto"/>
        <w:rPr>
          <w:rFonts w:eastAsia="MS Mincho"/>
          <w:b/>
          <w:bCs/>
          <w:i/>
          <w:iCs/>
          <w:lang w:val="en-US" w:eastAsia="ja-JP"/>
        </w:rPr>
      </w:pPr>
      <w:r w:rsidRPr="003252A4">
        <w:rPr>
          <w:rFonts w:eastAsia="MS Mincho"/>
          <w:b/>
          <w:bCs/>
          <w:i/>
          <w:iCs/>
          <w:lang w:val="en-US" w:eastAsia="ja-JP"/>
        </w:rPr>
        <w:t xml:space="preserve">Proposal #1: </w:t>
      </w:r>
      <w:r w:rsidRPr="003252A4">
        <w:rPr>
          <w:rFonts w:eastAsia="MS Mincho"/>
          <w:i/>
          <w:iCs/>
          <w:lang w:val="en-US" w:eastAsia="ja-JP"/>
        </w:rPr>
        <w:t>Support semi-static configuration for timing relationship K1 in addition to the dynamic indication that was already agreed.</w:t>
      </w:r>
    </w:p>
    <w:p w14:paraId="67B059B0" w14:textId="77777777" w:rsidR="00812B80" w:rsidRDefault="00812B80" w:rsidP="003019FF">
      <w:pPr>
        <w:overflowPunct/>
        <w:autoSpaceDE/>
        <w:autoSpaceDN/>
        <w:adjustRightInd/>
        <w:spacing w:after="120"/>
        <w:jc w:val="both"/>
        <w:textAlignment w:val="auto"/>
        <w:rPr>
          <w:rFonts w:eastAsia="MS Mincho"/>
          <w:i/>
          <w:iCs/>
          <w:lang w:val="en-US" w:eastAsia="ja-JP"/>
        </w:rPr>
      </w:pPr>
      <w:r w:rsidRPr="003252A4">
        <w:rPr>
          <w:rFonts w:eastAsia="MS Mincho"/>
          <w:b/>
          <w:bCs/>
          <w:i/>
          <w:iCs/>
          <w:lang w:val="en-US" w:eastAsia="ja-JP"/>
        </w:rPr>
        <w:t xml:space="preserve">Proposal #2: </w:t>
      </w:r>
      <w:r w:rsidRPr="003252A4">
        <w:rPr>
          <w:rFonts w:eastAsia="MS Mincho"/>
          <w:i/>
          <w:iCs/>
          <w:lang w:val="en-US" w:eastAsia="ja-JP"/>
        </w:rPr>
        <w:t>Consider a predefined set of values for dynamic timing indication of K1 for the case when the timings are unknown to UE.</w:t>
      </w:r>
    </w:p>
    <w:p w14:paraId="1E37771D" w14:textId="77777777" w:rsidR="00812B80" w:rsidRDefault="00812B80" w:rsidP="003019FF">
      <w:pPr>
        <w:spacing w:after="120"/>
        <w:jc w:val="both"/>
        <w:rPr>
          <w:rFonts w:eastAsia="MS Mincho"/>
          <w:i/>
          <w:iCs/>
          <w:lang w:val="en-US" w:eastAsia="ja-JP"/>
        </w:rPr>
      </w:pPr>
      <w:r w:rsidRPr="003252A4">
        <w:rPr>
          <w:rFonts w:eastAsia="MS Mincho"/>
          <w:b/>
          <w:bCs/>
          <w:i/>
          <w:iCs/>
          <w:lang w:val="en-US" w:eastAsia="ja-JP"/>
        </w:rPr>
        <w:t xml:space="preserve">Proposal #3: </w:t>
      </w:r>
      <w:r w:rsidRPr="003252A4">
        <w:rPr>
          <w:rFonts w:eastAsia="MS Mincho"/>
          <w:i/>
          <w:iCs/>
          <w:lang w:val="en-US" w:eastAsia="ja-JP"/>
        </w:rPr>
        <w:t xml:space="preserve">Multiple DL HARQ processes are supported to facilitate continuous DL transmission also with self-contained operation. </w:t>
      </w:r>
    </w:p>
    <w:p w14:paraId="754F318C" w14:textId="14D8D9DB" w:rsidR="00812B80" w:rsidRDefault="00812B80" w:rsidP="003019FF">
      <w:pPr>
        <w:overflowPunct/>
        <w:autoSpaceDE/>
        <w:autoSpaceDN/>
        <w:adjustRightInd/>
        <w:spacing w:after="120"/>
        <w:jc w:val="both"/>
        <w:textAlignment w:val="auto"/>
        <w:rPr>
          <w:rFonts w:eastAsia="MS Mincho"/>
          <w:i/>
          <w:iCs/>
          <w:lang w:val="en-US" w:eastAsia="ja-JP"/>
        </w:rPr>
      </w:pPr>
      <w:r w:rsidRPr="003252A4">
        <w:rPr>
          <w:rFonts w:eastAsia="MS Mincho"/>
          <w:b/>
          <w:bCs/>
          <w:i/>
          <w:iCs/>
          <w:lang w:val="en-US" w:eastAsia="ja-JP"/>
        </w:rPr>
        <w:t xml:space="preserve">Proposal #4: </w:t>
      </w:r>
      <w:r w:rsidRPr="003252A4">
        <w:rPr>
          <w:rFonts w:eastAsia="MS Mincho"/>
          <w:i/>
          <w:iCs/>
          <w:lang w:val="en-US" w:eastAsia="ja-JP"/>
        </w:rPr>
        <w:t xml:space="preserve">Support indication of both starting position and </w:t>
      </w:r>
      <w:r w:rsidRPr="00CA1F91">
        <w:rPr>
          <w:rFonts w:eastAsia="MS Mincho"/>
          <w:i/>
          <w:iCs/>
          <w:lang w:val="en-US" w:eastAsia="ja-JP"/>
        </w:rPr>
        <w:t>the duration of</w:t>
      </w:r>
      <w:r w:rsidRPr="0063180D">
        <w:rPr>
          <w:rFonts w:eastAsia="MS Mincho"/>
          <w:i/>
          <w:iCs/>
          <w:lang w:val="en-US" w:eastAsia="ja-JP"/>
        </w:rPr>
        <w:t xml:space="preserve"> the short PUCCH using a single index configured by RRC</w:t>
      </w:r>
    </w:p>
    <w:p w14:paraId="394DC134" w14:textId="77777777" w:rsidR="00812B80" w:rsidRPr="00E57E81" w:rsidRDefault="00812B80" w:rsidP="00046D41">
      <w:pPr>
        <w:spacing w:after="120"/>
        <w:jc w:val="both"/>
        <w:rPr>
          <w:b/>
          <w:bCs/>
        </w:rPr>
      </w:pPr>
      <w:r w:rsidRPr="00830CA4">
        <w:rPr>
          <w:b/>
          <w:bCs/>
          <w:i/>
        </w:rPr>
        <w:lastRenderedPageBreak/>
        <w:t>Proposal #5:</w:t>
      </w:r>
      <w:r w:rsidRPr="003252A4">
        <w:rPr>
          <w:b/>
          <w:bCs/>
        </w:rPr>
        <w:t xml:space="preserve"> </w:t>
      </w:r>
      <w:r w:rsidRPr="003252A4">
        <w:rPr>
          <w:i/>
          <w:iCs/>
        </w:rPr>
        <w:t xml:space="preserve">Dynamic indication </w:t>
      </w:r>
      <w:r w:rsidRPr="57EDC51E">
        <w:rPr>
          <w:i/>
          <w:iCs/>
        </w:rPr>
        <w:t xml:space="preserve">of the PUCCH starting position </w:t>
      </w:r>
      <w:r w:rsidRPr="003252A4">
        <w:rPr>
          <w:i/>
          <w:iCs/>
        </w:rPr>
        <w:t xml:space="preserve">for </w:t>
      </w:r>
      <w:r w:rsidRPr="00CA1F91">
        <w:rPr>
          <w:i/>
          <w:iCs/>
        </w:rPr>
        <w:t>PDSCH mini-slot</w:t>
      </w:r>
      <w:r w:rsidRPr="0063180D">
        <w:rPr>
          <w:i/>
          <w:iCs/>
        </w:rPr>
        <w:t xml:space="preserve"> is based on Opt. 1 (slot index, and the starting symbol of the slot).  </w:t>
      </w:r>
    </w:p>
    <w:p w14:paraId="106ED307" w14:textId="08C8E46F" w:rsidR="00812B80" w:rsidRPr="00E57E81" w:rsidRDefault="00812B80" w:rsidP="00812B80">
      <w:pPr>
        <w:overflowPunct/>
        <w:autoSpaceDE/>
        <w:autoSpaceDN/>
        <w:adjustRightInd/>
        <w:textAlignment w:val="auto"/>
        <w:rPr>
          <w:rFonts w:eastAsia="MS Mincho"/>
          <w:i/>
          <w:iCs/>
          <w:lang w:val="en-US" w:eastAsia="ja-JP"/>
        </w:rPr>
      </w:pPr>
      <w:r w:rsidRPr="003252A4">
        <w:rPr>
          <w:rFonts w:eastAsia="MS Mincho"/>
          <w:b/>
          <w:bCs/>
          <w:i/>
          <w:iCs/>
          <w:lang w:val="en-US" w:eastAsia="ja-JP"/>
        </w:rPr>
        <w:t xml:space="preserve">Observation #1: </w:t>
      </w:r>
      <w:r w:rsidRPr="003252A4">
        <w:rPr>
          <w:rFonts w:eastAsia="MS Mincho"/>
          <w:i/>
          <w:iCs/>
          <w:lang w:val="en-US" w:eastAsia="ja-JP"/>
        </w:rPr>
        <w:t>There is no need to define the exact value for the parameter K3.</w:t>
      </w:r>
    </w:p>
    <w:p w14:paraId="7E3411B3" w14:textId="33D173B7" w:rsidR="0029703E" w:rsidRDefault="0029703E" w:rsidP="003019FF">
      <w:pPr>
        <w:spacing w:before="360"/>
      </w:pPr>
      <w:r w:rsidRPr="0029703E">
        <w:t>Proposals</w:t>
      </w:r>
      <w:r>
        <w:t xml:space="preserve"> </w:t>
      </w:r>
      <w:r w:rsidRPr="0029703E">
        <w:t>on the HARQ feedback determination:</w:t>
      </w:r>
    </w:p>
    <w:p w14:paraId="195F43FC" w14:textId="61E284F1" w:rsidR="00932E84" w:rsidRPr="003019FF" w:rsidRDefault="00932E84" w:rsidP="003019FF">
      <w:pPr>
        <w:jc w:val="both"/>
        <w:rPr>
          <w:bCs/>
          <w:i/>
          <w:iCs/>
        </w:rPr>
      </w:pPr>
      <w:r w:rsidRPr="003252A4">
        <w:rPr>
          <w:b/>
          <w:bCs/>
          <w:i/>
          <w:iCs/>
        </w:rPr>
        <w:t>Proposal #</w:t>
      </w:r>
      <w:r>
        <w:rPr>
          <w:b/>
          <w:bCs/>
          <w:i/>
          <w:iCs/>
        </w:rPr>
        <w:t>6</w:t>
      </w:r>
      <w:r w:rsidRPr="003252A4">
        <w:rPr>
          <w:b/>
          <w:bCs/>
          <w:i/>
          <w:iCs/>
        </w:rPr>
        <w:t xml:space="preserve">: </w:t>
      </w:r>
      <w:r w:rsidRPr="009F6CE1">
        <w:rPr>
          <w:bCs/>
          <w:i/>
          <w:iCs/>
        </w:rPr>
        <w:t xml:space="preserve">Determination of DL association set for HARQ feedback is flexible and based on the indicated </w:t>
      </w:r>
      <w:r w:rsidRPr="009F6CE1">
        <w:rPr>
          <w:rFonts w:eastAsia="MS Mincho"/>
          <w:bCs/>
          <w:i/>
          <w:iCs/>
          <w:lang w:val="en-US" w:eastAsia="ja-JP"/>
        </w:rPr>
        <w:t>timing relationship between DL data reception and corresponding acknowledgement</w:t>
      </w:r>
      <w:r w:rsidRPr="009F6CE1">
        <w:rPr>
          <w:bCs/>
          <w:i/>
          <w:iCs/>
        </w:rPr>
        <w:t>.</w:t>
      </w:r>
    </w:p>
    <w:p w14:paraId="4BC5B80B" w14:textId="45A8FA1C" w:rsidR="00C42656" w:rsidRPr="003019FF" w:rsidRDefault="00C42656" w:rsidP="00C42656">
      <w:pPr>
        <w:jc w:val="both"/>
        <w:rPr>
          <w:b/>
          <w:bCs/>
          <w:i/>
          <w:iCs/>
        </w:rPr>
      </w:pPr>
      <w:r w:rsidRPr="003252A4">
        <w:rPr>
          <w:b/>
          <w:bCs/>
          <w:i/>
          <w:iCs/>
        </w:rPr>
        <w:t>Proposal #</w:t>
      </w:r>
      <w:r>
        <w:rPr>
          <w:b/>
          <w:bCs/>
          <w:i/>
          <w:iCs/>
        </w:rPr>
        <w:t>7</w:t>
      </w:r>
      <w:r w:rsidRPr="003252A4">
        <w:rPr>
          <w:b/>
          <w:bCs/>
          <w:i/>
          <w:iCs/>
        </w:rPr>
        <w:t>:</w:t>
      </w:r>
      <w:r w:rsidR="002A6B09">
        <w:rPr>
          <w:b/>
          <w:bCs/>
          <w:i/>
          <w:iCs/>
        </w:rPr>
        <w:t xml:space="preserve"> </w:t>
      </w:r>
      <w:r>
        <w:rPr>
          <w:bCs/>
          <w:i/>
          <w:iCs/>
        </w:rPr>
        <w:t>Both d</w:t>
      </w:r>
      <w:r w:rsidRPr="003019FF">
        <w:rPr>
          <w:bCs/>
          <w:i/>
          <w:iCs/>
        </w:rPr>
        <w:t>ynamic</w:t>
      </w:r>
      <w:r>
        <w:rPr>
          <w:bCs/>
          <w:i/>
          <w:iCs/>
        </w:rPr>
        <w:t xml:space="preserve"> and semi-static</w:t>
      </w:r>
      <w:r w:rsidRPr="003019FF">
        <w:rPr>
          <w:bCs/>
          <w:i/>
          <w:iCs/>
        </w:rPr>
        <w:t xml:space="preserve"> determ</w:t>
      </w:r>
      <w:r>
        <w:rPr>
          <w:bCs/>
          <w:i/>
          <w:iCs/>
        </w:rPr>
        <w:t>ination of DL association set</w:t>
      </w:r>
      <w:r w:rsidRPr="003019FF">
        <w:rPr>
          <w:bCs/>
          <w:i/>
          <w:iCs/>
        </w:rPr>
        <w:t xml:space="preserve"> </w:t>
      </w:r>
      <w:r>
        <w:rPr>
          <w:bCs/>
          <w:i/>
          <w:iCs/>
        </w:rPr>
        <w:t>are</w:t>
      </w:r>
      <w:r w:rsidRPr="003019FF">
        <w:rPr>
          <w:bCs/>
          <w:i/>
          <w:iCs/>
        </w:rPr>
        <w:t xml:space="preserve"> supported</w:t>
      </w:r>
      <w:r>
        <w:rPr>
          <w:bCs/>
          <w:i/>
          <w:iCs/>
        </w:rPr>
        <w:t>. D</w:t>
      </w:r>
      <w:r w:rsidRPr="003019FF">
        <w:rPr>
          <w:bCs/>
          <w:i/>
          <w:iCs/>
        </w:rPr>
        <w:t>ynamic</w:t>
      </w:r>
      <w:r>
        <w:rPr>
          <w:bCs/>
          <w:i/>
          <w:iCs/>
        </w:rPr>
        <w:t xml:space="preserve"> and semi-static</w:t>
      </w:r>
      <w:r w:rsidRPr="003019FF">
        <w:rPr>
          <w:bCs/>
          <w:i/>
          <w:iCs/>
        </w:rPr>
        <w:t xml:space="preserve"> determination of HARQ-ACK codebook size </w:t>
      </w:r>
      <w:r>
        <w:rPr>
          <w:bCs/>
          <w:i/>
          <w:iCs/>
        </w:rPr>
        <w:t>are also</w:t>
      </w:r>
      <w:r w:rsidRPr="003019FF">
        <w:rPr>
          <w:bCs/>
          <w:i/>
          <w:iCs/>
        </w:rPr>
        <w:t xml:space="preserve"> supported</w:t>
      </w:r>
      <w:r>
        <w:rPr>
          <w:bCs/>
          <w:i/>
          <w:iCs/>
        </w:rPr>
        <w:t xml:space="preserve"> for single carrier HARQ-ACK feedback</w:t>
      </w:r>
      <w:r w:rsidRPr="003019FF">
        <w:rPr>
          <w:bCs/>
          <w:i/>
          <w:iCs/>
        </w:rPr>
        <w:t>.</w:t>
      </w:r>
      <w:r w:rsidRPr="003252A4">
        <w:rPr>
          <w:b/>
          <w:bCs/>
          <w:i/>
          <w:iCs/>
        </w:rPr>
        <w:t xml:space="preserve"> </w:t>
      </w:r>
    </w:p>
    <w:p w14:paraId="7B3254FC" w14:textId="77777777" w:rsidR="00C42656" w:rsidRDefault="00C42656" w:rsidP="00C42656">
      <w:pPr>
        <w:jc w:val="both"/>
        <w:rPr>
          <w:bCs/>
          <w:i/>
          <w:iCs/>
        </w:rPr>
      </w:pPr>
      <w:r w:rsidRPr="003252A4">
        <w:rPr>
          <w:b/>
          <w:bCs/>
          <w:i/>
          <w:iCs/>
          <w:lang w:val="en-US"/>
        </w:rPr>
        <w:t>Proposal</w:t>
      </w:r>
      <w:r w:rsidRPr="003252A4">
        <w:rPr>
          <w:b/>
          <w:bCs/>
          <w:i/>
          <w:iCs/>
        </w:rPr>
        <w:t xml:space="preserve"> #</w:t>
      </w:r>
      <w:r>
        <w:rPr>
          <w:b/>
          <w:bCs/>
          <w:i/>
          <w:iCs/>
        </w:rPr>
        <w:t>8</w:t>
      </w:r>
      <w:r w:rsidRPr="003252A4">
        <w:rPr>
          <w:b/>
          <w:bCs/>
          <w:i/>
          <w:iCs/>
        </w:rPr>
        <w:t xml:space="preserve">: </w:t>
      </w:r>
      <w:r>
        <w:rPr>
          <w:bCs/>
          <w:i/>
          <w:iCs/>
        </w:rPr>
        <w:t>DAI</w:t>
      </w:r>
      <w:r w:rsidRPr="003019FF">
        <w:rPr>
          <w:bCs/>
          <w:i/>
          <w:iCs/>
        </w:rPr>
        <w:t xml:space="preserve"> mechanism</w:t>
      </w:r>
      <w:r>
        <w:rPr>
          <w:bCs/>
          <w:i/>
          <w:iCs/>
        </w:rPr>
        <w:t xml:space="preserve"> is used</w:t>
      </w:r>
      <w:r w:rsidRPr="003019FF">
        <w:rPr>
          <w:bCs/>
          <w:i/>
          <w:iCs/>
        </w:rPr>
        <w:t xml:space="preserve"> to mitigate error cases related to the dynamic determination of DL association set and HARQ-ACK codebook size.</w:t>
      </w:r>
    </w:p>
    <w:p w14:paraId="54F34354" w14:textId="77777777" w:rsidR="00C42656" w:rsidRPr="00692297" w:rsidRDefault="00C42656" w:rsidP="00C42656">
      <w:pPr>
        <w:spacing w:after="0"/>
        <w:jc w:val="both"/>
        <w:rPr>
          <w:rFonts w:eastAsia="MS Mincho"/>
          <w:i/>
          <w:lang w:val="en-US" w:eastAsia="ja-JP"/>
        </w:rPr>
      </w:pPr>
      <w:r w:rsidRPr="00692297">
        <w:rPr>
          <w:b/>
          <w:i/>
          <w:lang w:val="en-US"/>
        </w:rPr>
        <w:t>Proposal #9:</w:t>
      </w:r>
      <w:r w:rsidRPr="00517466">
        <w:rPr>
          <w:b/>
          <w:lang w:val="en-US"/>
        </w:rPr>
        <w:t xml:space="preserve"> </w:t>
      </w:r>
      <w:r>
        <w:rPr>
          <w:i/>
          <w:lang w:val="en-US"/>
        </w:rPr>
        <w:t>When DL association set is dynamically determined,</w:t>
      </w:r>
    </w:p>
    <w:p w14:paraId="136ACA0E" w14:textId="77777777" w:rsidR="00C42656" w:rsidRPr="00692297" w:rsidRDefault="00C42656" w:rsidP="00C42656">
      <w:pPr>
        <w:pStyle w:val="ListParagraph"/>
        <w:numPr>
          <w:ilvl w:val="0"/>
          <w:numId w:val="50"/>
        </w:numPr>
        <w:spacing w:after="160" w:line="259" w:lineRule="auto"/>
        <w:jc w:val="both"/>
        <w:rPr>
          <w:i/>
          <w:sz w:val="20"/>
          <w:szCs w:val="20"/>
          <w:lang w:val="en-US"/>
        </w:rPr>
      </w:pPr>
      <w:r w:rsidRPr="00692297">
        <w:rPr>
          <w:i/>
          <w:sz w:val="20"/>
          <w:szCs w:val="20"/>
          <w:lang w:val="en-US"/>
        </w:rPr>
        <w:t xml:space="preserve">DL association set starts from first TTI where PDSCH is associated to UCI transmission in certain UL TTI </w:t>
      </w:r>
    </w:p>
    <w:p w14:paraId="02D63B14" w14:textId="77777777" w:rsidR="00C42656" w:rsidRPr="00692297" w:rsidRDefault="00C42656" w:rsidP="00C42656">
      <w:pPr>
        <w:pStyle w:val="ListParagraph"/>
        <w:numPr>
          <w:ilvl w:val="0"/>
          <w:numId w:val="50"/>
        </w:numPr>
        <w:spacing w:after="160" w:line="259" w:lineRule="auto"/>
        <w:jc w:val="both"/>
        <w:rPr>
          <w:i/>
          <w:sz w:val="20"/>
          <w:szCs w:val="20"/>
          <w:lang w:val="en-US"/>
        </w:rPr>
      </w:pPr>
      <w:r w:rsidRPr="00692297">
        <w:rPr>
          <w:i/>
          <w:sz w:val="20"/>
          <w:szCs w:val="20"/>
          <w:lang w:val="en-US"/>
        </w:rPr>
        <w:t xml:space="preserve">Last TTI of the DL association set is the last PDSCH TTI for which UE can prepare HARQ ACK in time given the configured UE processing time. </w:t>
      </w:r>
    </w:p>
    <w:p w14:paraId="79D2F8B8" w14:textId="4DD6613D" w:rsidR="00932E84" w:rsidRPr="009F6CE1" w:rsidRDefault="00932E84" w:rsidP="001C66EE">
      <w:pPr>
        <w:spacing w:after="240"/>
        <w:jc w:val="both"/>
        <w:rPr>
          <w:b/>
          <w:bCs/>
          <w:i/>
          <w:iCs/>
        </w:rPr>
      </w:pPr>
      <w:r w:rsidRPr="003252A4">
        <w:rPr>
          <w:b/>
          <w:bCs/>
          <w:i/>
          <w:iCs/>
        </w:rPr>
        <w:t>Proposal #</w:t>
      </w:r>
      <w:r w:rsidR="00C42656">
        <w:rPr>
          <w:b/>
          <w:bCs/>
          <w:i/>
          <w:iCs/>
        </w:rPr>
        <w:t>10</w:t>
      </w:r>
      <w:r w:rsidRPr="003252A4">
        <w:rPr>
          <w:b/>
          <w:bCs/>
          <w:i/>
          <w:iCs/>
        </w:rPr>
        <w:t xml:space="preserve">: </w:t>
      </w:r>
      <w:r w:rsidRPr="009F6CE1">
        <w:rPr>
          <w:bCs/>
          <w:i/>
          <w:iCs/>
        </w:rPr>
        <w:t>DL association set and HARQ-ACK codebook size are determined separately for DL slots and mini-slots</w:t>
      </w:r>
      <w:r w:rsidR="0085296E" w:rsidRPr="0085296E">
        <w:rPr>
          <w:bCs/>
          <w:i/>
          <w:iCs/>
        </w:rPr>
        <w:t xml:space="preserve"> </w:t>
      </w:r>
      <w:r w:rsidR="0085296E">
        <w:rPr>
          <w:bCs/>
          <w:i/>
          <w:iCs/>
        </w:rPr>
        <w:t xml:space="preserve">in the case of dynamic </w:t>
      </w:r>
      <w:r w:rsidR="0085296E" w:rsidRPr="00B94AAD">
        <w:rPr>
          <w:bCs/>
          <w:i/>
          <w:iCs/>
        </w:rPr>
        <w:t>DL association set and HARQ-ACK codebook size</w:t>
      </w:r>
      <w:r w:rsidR="0085296E">
        <w:rPr>
          <w:bCs/>
          <w:i/>
          <w:iCs/>
        </w:rPr>
        <w:t xml:space="preserve"> determination, respectively</w:t>
      </w:r>
      <w:r w:rsidR="0085296E" w:rsidRPr="00B94AAD">
        <w:rPr>
          <w:bCs/>
          <w:i/>
          <w:iCs/>
        </w:rPr>
        <w:t>.</w:t>
      </w:r>
      <w:r w:rsidRPr="003252A4">
        <w:rPr>
          <w:b/>
          <w:bCs/>
          <w:i/>
          <w:iCs/>
        </w:rPr>
        <w:t xml:space="preserve"> </w:t>
      </w:r>
    </w:p>
    <w:p w14:paraId="0E0F573F" w14:textId="345D3BE6" w:rsidR="00932E84" w:rsidRPr="009F6CE1" w:rsidRDefault="00932E84" w:rsidP="00932E84">
      <w:pPr>
        <w:jc w:val="both"/>
        <w:rPr>
          <w:bCs/>
        </w:rPr>
      </w:pPr>
      <w:r w:rsidRPr="003252A4">
        <w:rPr>
          <w:b/>
          <w:bCs/>
          <w:i/>
          <w:iCs/>
        </w:rPr>
        <w:t>Proposal #</w:t>
      </w:r>
      <w:r>
        <w:rPr>
          <w:b/>
          <w:bCs/>
          <w:i/>
          <w:iCs/>
        </w:rPr>
        <w:t>1</w:t>
      </w:r>
      <w:r w:rsidR="00C42656">
        <w:rPr>
          <w:b/>
          <w:bCs/>
          <w:i/>
          <w:iCs/>
        </w:rPr>
        <w:t>1</w:t>
      </w:r>
      <w:r w:rsidRPr="003252A4">
        <w:rPr>
          <w:b/>
          <w:bCs/>
          <w:i/>
          <w:iCs/>
        </w:rPr>
        <w:t xml:space="preserve">: </w:t>
      </w:r>
      <w:r w:rsidRPr="009F6CE1">
        <w:rPr>
          <w:bCs/>
          <w:i/>
          <w:iCs/>
        </w:rPr>
        <w:t xml:space="preserve">HARQ-ACK bundling is supported at least across CBGs and across TBs. </w:t>
      </w:r>
    </w:p>
    <w:p w14:paraId="7D92B578" w14:textId="77CFBF1E" w:rsidR="00932E84" w:rsidRPr="009F6CE1" w:rsidRDefault="00932E84" w:rsidP="007C09CA">
      <w:pPr>
        <w:spacing w:after="0"/>
        <w:ind w:left="992" w:hanging="992"/>
        <w:rPr>
          <w:bCs/>
          <w:i/>
          <w:iCs/>
        </w:rPr>
      </w:pPr>
      <w:r w:rsidRPr="003252A4">
        <w:rPr>
          <w:b/>
          <w:bCs/>
          <w:i/>
          <w:iCs/>
        </w:rPr>
        <w:t>Proposal #</w:t>
      </w:r>
      <w:r>
        <w:rPr>
          <w:b/>
          <w:bCs/>
          <w:i/>
          <w:iCs/>
        </w:rPr>
        <w:t>1</w:t>
      </w:r>
      <w:r w:rsidR="00C42656">
        <w:rPr>
          <w:b/>
          <w:bCs/>
          <w:i/>
          <w:iCs/>
        </w:rPr>
        <w:t>2</w:t>
      </w:r>
      <w:r w:rsidRPr="003252A4">
        <w:rPr>
          <w:b/>
          <w:bCs/>
          <w:i/>
          <w:iCs/>
        </w:rPr>
        <w:t xml:space="preserve">: </w:t>
      </w:r>
      <w:r w:rsidRPr="009F6CE1">
        <w:rPr>
          <w:bCs/>
          <w:i/>
          <w:iCs/>
        </w:rPr>
        <w:t xml:space="preserve">HARQ-ACK bundling is semi-statically enabled/disabled via higher layer signalling. </w:t>
      </w:r>
    </w:p>
    <w:p w14:paraId="38E20CB3" w14:textId="788D2275" w:rsidR="00C42656" w:rsidRPr="002A6B09" w:rsidRDefault="00932E84" w:rsidP="00C42656">
      <w:pPr>
        <w:pStyle w:val="ListParagraph"/>
        <w:numPr>
          <w:ilvl w:val="0"/>
          <w:numId w:val="43"/>
        </w:numPr>
        <w:rPr>
          <w:i/>
          <w:sz w:val="16"/>
          <w:lang w:val="en-US"/>
        </w:rPr>
      </w:pPr>
      <w:r w:rsidRPr="00C42656">
        <w:rPr>
          <w:i/>
          <w:sz w:val="20"/>
          <w:lang w:val="en-US"/>
        </w:rPr>
        <w:t xml:space="preserve">HARQ-ACK bundling </w:t>
      </w:r>
      <w:r w:rsidR="00C42656">
        <w:rPr>
          <w:i/>
          <w:sz w:val="20"/>
          <w:lang w:val="en-US"/>
        </w:rPr>
        <w:t xml:space="preserve">across TBs </w:t>
      </w:r>
      <w:r w:rsidRPr="00C42656">
        <w:rPr>
          <w:i/>
          <w:sz w:val="20"/>
          <w:lang w:val="en-US"/>
        </w:rPr>
        <w:t>may be applied either semi-statically or dynamically</w:t>
      </w:r>
      <w:r w:rsidR="00C42656" w:rsidRPr="00C42656">
        <w:rPr>
          <w:sz w:val="20"/>
          <w:lang w:val="en-US"/>
        </w:rPr>
        <w:t xml:space="preserve"> </w:t>
      </w:r>
    </w:p>
    <w:p w14:paraId="015E6022" w14:textId="694CFAF9" w:rsidR="00932E84" w:rsidRPr="002A6B09" w:rsidRDefault="00C42656" w:rsidP="00C42656">
      <w:pPr>
        <w:pStyle w:val="ListParagraph"/>
        <w:numPr>
          <w:ilvl w:val="0"/>
          <w:numId w:val="43"/>
        </w:numPr>
        <w:rPr>
          <w:i/>
          <w:sz w:val="20"/>
          <w:lang w:val="en-US"/>
        </w:rPr>
      </w:pPr>
      <w:r w:rsidRPr="00C42656">
        <w:rPr>
          <w:i/>
          <w:sz w:val="20"/>
          <w:lang w:val="en-US"/>
        </w:rPr>
        <w:t>HARQ-ACK bundling across CBGs may be applied dynamically.</w:t>
      </w:r>
    </w:p>
    <w:p w14:paraId="5C5F62E3" w14:textId="18E0E4CA" w:rsidR="0029703E" w:rsidRPr="003019FF" w:rsidRDefault="0029703E" w:rsidP="003019FF">
      <w:pPr>
        <w:spacing w:before="360" w:line="276" w:lineRule="auto"/>
        <w:jc w:val="both"/>
        <w:rPr>
          <w:lang w:val="en-US"/>
        </w:rPr>
      </w:pPr>
      <w:r w:rsidRPr="003252A4">
        <w:rPr>
          <w:lang w:val="en-US"/>
        </w:rPr>
        <w:t>Proposals on the number of HARQ processes</w:t>
      </w:r>
      <w:r w:rsidR="008205B2">
        <w:rPr>
          <w:lang w:val="en-US"/>
        </w:rPr>
        <w:t xml:space="preserve"> and UE processing time</w:t>
      </w:r>
      <w:r w:rsidRPr="003252A4">
        <w:rPr>
          <w:lang w:val="en-US"/>
        </w:rPr>
        <w:t>:</w:t>
      </w:r>
    </w:p>
    <w:p w14:paraId="3EAFBDCB" w14:textId="77E3D68F" w:rsidR="00932E84" w:rsidRPr="009F6CE1" w:rsidRDefault="00932E84" w:rsidP="00932E84">
      <w:pPr>
        <w:spacing w:after="200" w:line="276" w:lineRule="auto"/>
        <w:jc w:val="both"/>
        <w:rPr>
          <w:i/>
          <w:iCs/>
          <w:lang w:val="en-US"/>
        </w:rPr>
      </w:pPr>
      <w:r w:rsidRPr="00830CA4">
        <w:rPr>
          <w:b/>
          <w:bCs/>
          <w:i/>
          <w:lang w:val="en-US"/>
        </w:rPr>
        <w:t>Proposal #1</w:t>
      </w:r>
      <w:r w:rsidR="00C42656">
        <w:rPr>
          <w:b/>
          <w:bCs/>
          <w:i/>
          <w:lang w:val="en-US"/>
        </w:rPr>
        <w:t>3</w:t>
      </w:r>
      <w:r w:rsidRPr="00830CA4">
        <w:rPr>
          <w:b/>
          <w:bCs/>
          <w:i/>
          <w:lang w:val="en-US"/>
        </w:rPr>
        <w:t>:</w:t>
      </w:r>
      <w:r w:rsidRPr="00E541B0">
        <w:rPr>
          <w:b/>
          <w:bCs/>
          <w:lang w:val="en-US"/>
        </w:rPr>
        <w:t xml:space="preserve"> </w:t>
      </w:r>
      <w:r w:rsidRPr="003252A4">
        <w:rPr>
          <w:i/>
          <w:iCs/>
          <w:lang w:val="en-US"/>
        </w:rPr>
        <w:t>The maximum number of supported HARQ processes per carrier and per MIMO CW is common to all UEs capable of supporting mobile broadband services, and the value is fixed in the specification.</w:t>
      </w:r>
    </w:p>
    <w:p w14:paraId="1EF92CE0" w14:textId="7AAB251B" w:rsidR="00932E84" w:rsidRDefault="00932E84" w:rsidP="003019FF">
      <w:pPr>
        <w:spacing w:after="200" w:line="276" w:lineRule="auto"/>
        <w:jc w:val="both"/>
        <w:rPr>
          <w:i/>
          <w:iCs/>
          <w:lang w:val="en-US"/>
        </w:rPr>
      </w:pPr>
      <w:r w:rsidRPr="00830CA4">
        <w:rPr>
          <w:b/>
          <w:bCs/>
          <w:i/>
          <w:lang w:val="en-US"/>
        </w:rPr>
        <w:t>Proposal #1</w:t>
      </w:r>
      <w:r w:rsidR="00C42656">
        <w:rPr>
          <w:b/>
          <w:bCs/>
          <w:i/>
          <w:lang w:val="en-US"/>
        </w:rPr>
        <w:t>4</w:t>
      </w:r>
      <w:r w:rsidRPr="00830CA4">
        <w:rPr>
          <w:b/>
          <w:bCs/>
          <w:i/>
          <w:lang w:val="en-US"/>
        </w:rPr>
        <w:t>:</w:t>
      </w:r>
      <w:r w:rsidRPr="00E541B0">
        <w:rPr>
          <w:b/>
          <w:bCs/>
          <w:lang w:val="en-US"/>
        </w:rPr>
        <w:t xml:space="preserve"> </w:t>
      </w:r>
      <w:r w:rsidRPr="003252A4">
        <w:rPr>
          <w:i/>
          <w:iCs/>
          <w:lang w:val="en-US"/>
        </w:rPr>
        <w:t>Allocate 4 bits for HARQ process number indication per carrier and per MIMO CW in the DCI for both downlink and uplink</w:t>
      </w:r>
      <w:r w:rsidR="008205B2">
        <w:rPr>
          <w:i/>
          <w:iCs/>
          <w:lang w:val="en-US"/>
        </w:rPr>
        <w:t>, and support a maximum of 16 HARQ processes per CW.</w:t>
      </w:r>
    </w:p>
    <w:p w14:paraId="53E6C5C6" w14:textId="12BB7213" w:rsidR="008205B2" w:rsidRPr="00DC413A" w:rsidRDefault="008205B2" w:rsidP="00DC413A">
      <w:pPr>
        <w:overflowPunct/>
        <w:autoSpaceDE/>
        <w:autoSpaceDN/>
        <w:adjustRightInd/>
        <w:spacing w:after="240"/>
        <w:jc w:val="both"/>
        <w:textAlignment w:val="auto"/>
        <w:rPr>
          <w:rFonts w:eastAsia="MS Mincho"/>
          <w:b/>
          <w:bCs/>
          <w:i/>
          <w:iCs/>
          <w:lang w:val="en-US" w:eastAsia="ja-JP"/>
        </w:rPr>
      </w:pPr>
      <w:r w:rsidRPr="003252A4">
        <w:rPr>
          <w:rFonts w:eastAsia="MS Mincho"/>
          <w:b/>
          <w:bCs/>
          <w:i/>
          <w:iCs/>
          <w:lang w:val="en-US" w:eastAsia="ja-JP"/>
        </w:rPr>
        <w:t>Proposal #1</w:t>
      </w:r>
      <w:r w:rsidR="00C42656">
        <w:rPr>
          <w:rFonts w:eastAsia="MS Mincho"/>
          <w:b/>
          <w:bCs/>
          <w:i/>
          <w:iCs/>
          <w:lang w:val="en-US" w:eastAsia="ja-JP"/>
        </w:rPr>
        <w:t>5</w:t>
      </w:r>
      <w:r w:rsidRPr="003252A4">
        <w:rPr>
          <w:rFonts w:eastAsia="MS Mincho"/>
          <w:b/>
          <w:bCs/>
          <w:i/>
          <w:iCs/>
          <w:lang w:val="en-US" w:eastAsia="ja-JP"/>
        </w:rPr>
        <w:t xml:space="preserve">: </w:t>
      </w:r>
      <w:r>
        <w:rPr>
          <w:rFonts w:eastAsia="MS Mincho"/>
          <w:i/>
          <w:iCs/>
          <w:lang w:val="en-US" w:eastAsia="ja-JP"/>
        </w:rPr>
        <w:t>Strive for a low UE processing times that are universally applicable to all non-MTC UE types, where feasible</w:t>
      </w:r>
      <w:r w:rsidR="001C66EE">
        <w:rPr>
          <w:rFonts w:eastAsia="MS Mincho"/>
          <w:i/>
          <w:iCs/>
          <w:lang w:val="en-US" w:eastAsia="ja-JP"/>
        </w:rPr>
        <w:t>.</w:t>
      </w:r>
    </w:p>
    <w:bookmarkEnd w:id="4"/>
    <w:p w14:paraId="40CBE789" w14:textId="2FC94F91" w:rsidR="0034111C" w:rsidRPr="00C42656" w:rsidRDefault="0034111C">
      <w:pPr>
        <w:pStyle w:val="Heading1"/>
      </w:pPr>
      <w:r w:rsidRPr="00A51522">
        <w:t>References</w:t>
      </w:r>
      <w:r w:rsidR="00A2459D" w:rsidRPr="00A51522">
        <w:t xml:space="preserve"> </w:t>
      </w:r>
    </w:p>
    <w:p w14:paraId="5D83AC7E" w14:textId="608C0668" w:rsidR="00A12B8F" w:rsidRPr="002A6B09" w:rsidRDefault="00A12B8F">
      <w:pPr>
        <w:numPr>
          <w:ilvl w:val="0"/>
          <w:numId w:val="1"/>
        </w:numPr>
        <w:rPr>
          <w:sz w:val="18"/>
          <w:szCs w:val="18"/>
        </w:rPr>
      </w:pPr>
      <w:r w:rsidRPr="00680B71">
        <w:rPr>
          <w:sz w:val="18"/>
          <w:szCs w:val="18"/>
        </w:rPr>
        <w:t>RP-170847, “</w:t>
      </w:r>
      <w:r w:rsidRPr="002A6B09">
        <w:rPr>
          <w:i/>
          <w:iCs/>
          <w:sz w:val="18"/>
          <w:szCs w:val="18"/>
          <w:lang w:eastAsia="zh-CN"/>
        </w:rPr>
        <w:t>New WID on New Radio Access Technology</w:t>
      </w:r>
      <w:r w:rsidRPr="002A6B09">
        <w:rPr>
          <w:sz w:val="18"/>
          <w:szCs w:val="18"/>
        </w:rPr>
        <w:t xml:space="preserve">”, </w:t>
      </w:r>
      <w:r w:rsidRPr="002A6B09">
        <w:rPr>
          <w:sz w:val="18"/>
          <w:szCs w:val="18"/>
          <w:lang w:eastAsia="zh-CN"/>
        </w:rPr>
        <w:t>NTT DoCoMo</w:t>
      </w:r>
    </w:p>
    <w:p w14:paraId="48CB3317" w14:textId="1E568582" w:rsidR="0029703E" w:rsidRPr="002A6B09" w:rsidRDefault="0029703E" w:rsidP="003019FF">
      <w:pPr>
        <w:numPr>
          <w:ilvl w:val="0"/>
          <w:numId w:val="1"/>
        </w:numPr>
        <w:overflowPunct/>
        <w:autoSpaceDE/>
        <w:autoSpaceDN/>
        <w:adjustRightInd/>
        <w:spacing w:after="160" w:line="256" w:lineRule="auto"/>
        <w:textAlignment w:val="auto"/>
        <w:rPr>
          <w:sz w:val="18"/>
          <w:szCs w:val="18"/>
          <w:lang w:val="en-US"/>
        </w:rPr>
      </w:pPr>
      <w:r w:rsidRPr="002A6B09">
        <w:rPr>
          <w:sz w:val="18"/>
          <w:szCs w:val="18"/>
        </w:rPr>
        <w:t>TR 38.913, “</w:t>
      </w:r>
      <w:r w:rsidRPr="002A6B09">
        <w:rPr>
          <w:i/>
          <w:iCs/>
          <w:sz w:val="18"/>
          <w:szCs w:val="18"/>
          <w:lang w:eastAsia="zh-CN"/>
        </w:rPr>
        <w:t>Study on Scenarios and Requirements for Next Generation Access Technologies</w:t>
      </w:r>
      <w:r w:rsidRPr="002A6B09">
        <w:rPr>
          <w:sz w:val="18"/>
          <w:szCs w:val="18"/>
        </w:rPr>
        <w:t>”, 3GPP</w:t>
      </w:r>
    </w:p>
    <w:p w14:paraId="784C9940" w14:textId="5C1593CF" w:rsidR="00FA0931" w:rsidRPr="00C42656" w:rsidRDefault="00FA0931" w:rsidP="003019FF">
      <w:pPr>
        <w:numPr>
          <w:ilvl w:val="0"/>
          <w:numId w:val="1"/>
        </w:numPr>
        <w:overflowPunct/>
        <w:autoSpaceDE/>
        <w:autoSpaceDN/>
        <w:adjustRightInd/>
        <w:spacing w:after="160" w:line="256" w:lineRule="auto"/>
        <w:textAlignment w:val="auto"/>
        <w:rPr>
          <w:sz w:val="18"/>
          <w:szCs w:val="18"/>
          <w:lang w:val="en-US"/>
        </w:rPr>
      </w:pPr>
      <w:r w:rsidRPr="00C42656">
        <w:rPr>
          <w:sz w:val="18"/>
          <w:szCs w:val="18"/>
          <w:lang w:val="en-US"/>
        </w:rPr>
        <w:t>R1-17</w:t>
      </w:r>
      <w:r w:rsidR="00987B7E" w:rsidRPr="002A6B09">
        <w:rPr>
          <w:sz w:val="18"/>
          <w:szCs w:val="18"/>
          <w:lang w:val="en-US"/>
        </w:rPr>
        <w:t>8608</w:t>
      </w:r>
      <w:r w:rsidRPr="00C42656">
        <w:rPr>
          <w:sz w:val="18"/>
          <w:szCs w:val="18"/>
          <w:lang w:val="en-US"/>
        </w:rPr>
        <w:t>, “</w:t>
      </w:r>
      <w:r w:rsidRPr="00C42656">
        <w:rPr>
          <w:i/>
          <w:sz w:val="18"/>
          <w:szCs w:val="18"/>
          <w:lang w:val="en-US"/>
        </w:rPr>
        <w:t>On remaining aspects of NR CA/DC</w:t>
      </w:r>
      <w:r w:rsidRPr="00C42656">
        <w:rPr>
          <w:sz w:val="18"/>
          <w:szCs w:val="18"/>
          <w:lang w:val="en-US"/>
        </w:rPr>
        <w:t>”, Nokia, Nokia Shanghai Bell</w:t>
      </w:r>
    </w:p>
    <w:p w14:paraId="316360A5" w14:textId="5D385823" w:rsidR="00FA0931" w:rsidRPr="00C42656" w:rsidRDefault="00FA0931" w:rsidP="003019FF">
      <w:pPr>
        <w:numPr>
          <w:ilvl w:val="0"/>
          <w:numId w:val="1"/>
        </w:numPr>
        <w:overflowPunct/>
        <w:autoSpaceDE/>
        <w:autoSpaceDN/>
        <w:adjustRightInd/>
        <w:spacing w:after="160" w:line="256" w:lineRule="auto"/>
        <w:textAlignment w:val="auto"/>
        <w:rPr>
          <w:sz w:val="18"/>
          <w:szCs w:val="18"/>
          <w:lang w:val="en-US"/>
        </w:rPr>
      </w:pPr>
      <w:r w:rsidRPr="00C42656">
        <w:rPr>
          <w:sz w:val="18"/>
          <w:szCs w:val="18"/>
          <w:lang w:val="en-US"/>
        </w:rPr>
        <w:t>R1-171</w:t>
      </w:r>
      <w:r w:rsidR="00C42656" w:rsidRPr="002A6B09">
        <w:rPr>
          <w:sz w:val="18"/>
          <w:szCs w:val="18"/>
          <w:lang w:val="en-US"/>
        </w:rPr>
        <w:t>8622</w:t>
      </w:r>
      <w:r w:rsidRPr="00C42656">
        <w:rPr>
          <w:sz w:val="18"/>
          <w:szCs w:val="18"/>
          <w:lang w:val="en-US"/>
        </w:rPr>
        <w:t>, “</w:t>
      </w:r>
      <w:r w:rsidRPr="00C42656">
        <w:rPr>
          <w:i/>
          <w:sz w:val="18"/>
          <w:szCs w:val="18"/>
          <w:lang w:val="en-US"/>
        </w:rPr>
        <w:t>On CBG based transmissions</w:t>
      </w:r>
      <w:r w:rsidRPr="00C42656">
        <w:rPr>
          <w:sz w:val="18"/>
          <w:szCs w:val="18"/>
          <w:lang w:val="en-US"/>
        </w:rPr>
        <w:t>”, Nokia, Nokia Shanghai Bell</w:t>
      </w:r>
    </w:p>
    <w:p w14:paraId="52438AA5" w14:textId="0646358C" w:rsidR="00AB3139" w:rsidRPr="00680B71" w:rsidRDefault="004142CD" w:rsidP="003019FF">
      <w:pPr>
        <w:numPr>
          <w:ilvl w:val="0"/>
          <w:numId w:val="1"/>
        </w:numPr>
        <w:overflowPunct/>
        <w:autoSpaceDE/>
        <w:autoSpaceDN/>
        <w:adjustRightInd/>
        <w:spacing w:after="160" w:line="256" w:lineRule="auto"/>
        <w:textAlignment w:val="auto"/>
        <w:rPr>
          <w:sz w:val="18"/>
          <w:szCs w:val="18"/>
          <w:lang w:val="en-US"/>
        </w:rPr>
      </w:pPr>
      <w:r w:rsidRPr="00C42656">
        <w:rPr>
          <w:sz w:val="18"/>
          <w:szCs w:val="18"/>
        </w:rPr>
        <w:t>RAN1 Chairman’s Notes, 3GPP TSG RAN WG1 Meeting #8</w:t>
      </w:r>
      <w:r w:rsidR="00FA0931" w:rsidRPr="00C42656">
        <w:rPr>
          <w:sz w:val="18"/>
          <w:szCs w:val="18"/>
        </w:rPr>
        <w:t>9</w:t>
      </w:r>
      <w:r w:rsidRPr="00C42656">
        <w:rPr>
          <w:sz w:val="18"/>
          <w:szCs w:val="18"/>
        </w:rPr>
        <w:t>, 3GPP</w:t>
      </w:r>
    </w:p>
    <w:p w14:paraId="07AF3B33" w14:textId="6E5EF85D" w:rsidR="00AB3139" w:rsidRDefault="00AB3139" w:rsidP="003019FF">
      <w:pPr>
        <w:numPr>
          <w:ilvl w:val="0"/>
          <w:numId w:val="1"/>
        </w:numPr>
        <w:overflowPunct/>
        <w:autoSpaceDE/>
        <w:autoSpaceDN/>
        <w:adjustRightInd/>
        <w:spacing w:after="160" w:line="256" w:lineRule="auto"/>
        <w:textAlignment w:val="auto"/>
        <w:rPr>
          <w:sz w:val="18"/>
          <w:szCs w:val="18"/>
          <w:lang w:val="en-US"/>
        </w:rPr>
      </w:pPr>
      <w:r>
        <w:rPr>
          <w:sz w:val="18"/>
          <w:szCs w:val="18"/>
          <w:lang w:val="en-US"/>
        </w:rPr>
        <w:t>R1-1713977, “</w:t>
      </w:r>
      <w:r>
        <w:rPr>
          <w:i/>
          <w:sz w:val="18"/>
          <w:szCs w:val="18"/>
          <w:lang w:val="en-US"/>
        </w:rPr>
        <w:t>UE Processing Time Evaluation</w:t>
      </w:r>
      <w:r>
        <w:rPr>
          <w:sz w:val="18"/>
          <w:szCs w:val="18"/>
          <w:lang w:val="en-US"/>
        </w:rPr>
        <w:t>”, MediaTek Inc.</w:t>
      </w:r>
    </w:p>
    <w:p w14:paraId="73ED9114" w14:textId="6665E715" w:rsidR="00AB3139" w:rsidRPr="003019FF" w:rsidRDefault="00AB3139" w:rsidP="003019FF">
      <w:pPr>
        <w:numPr>
          <w:ilvl w:val="0"/>
          <w:numId w:val="1"/>
        </w:numPr>
        <w:overflowPunct/>
        <w:autoSpaceDE/>
        <w:autoSpaceDN/>
        <w:adjustRightInd/>
        <w:spacing w:after="160" w:line="256" w:lineRule="auto"/>
        <w:textAlignment w:val="auto"/>
        <w:rPr>
          <w:sz w:val="18"/>
          <w:szCs w:val="18"/>
          <w:lang w:val="en-US"/>
        </w:rPr>
      </w:pPr>
      <w:r w:rsidRPr="00AB3139">
        <w:rPr>
          <w:sz w:val="18"/>
          <w:szCs w:val="18"/>
          <w:lang w:val="en-US"/>
        </w:rPr>
        <w:t>R1-1714185</w:t>
      </w:r>
      <w:r>
        <w:rPr>
          <w:sz w:val="18"/>
          <w:szCs w:val="18"/>
          <w:lang w:val="en-US"/>
        </w:rPr>
        <w:t>, “</w:t>
      </w:r>
      <w:r>
        <w:rPr>
          <w:i/>
          <w:sz w:val="18"/>
          <w:szCs w:val="18"/>
          <w:lang w:val="en-US"/>
        </w:rPr>
        <w:t>UE Processing Time</w:t>
      </w:r>
      <w:r>
        <w:rPr>
          <w:sz w:val="18"/>
          <w:szCs w:val="18"/>
          <w:lang w:val="en-US"/>
        </w:rPr>
        <w:t>”, Qualcomm Inc.</w:t>
      </w:r>
    </w:p>
    <w:p w14:paraId="5B5A05BC" w14:textId="27B25E60" w:rsidR="007E1905" w:rsidRPr="003019FF" w:rsidRDefault="007E1905" w:rsidP="003019FF">
      <w:pPr>
        <w:overflowPunct/>
        <w:autoSpaceDE/>
        <w:autoSpaceDN/>
        <w:adjustRightInd/>
        <w:spacing w:after="160" w:line="256" w:lineRule="auto"/>
        <w:textAlignment w:val="auto"/>
        <w:rPr>
          <w:sz w:val="18"/>
          <w:szCs w:val="18"/>
        </w:rPr>
      </w:pPr>
    </w:p>
    <w:sectPr w:rsidR="007E1905" w:rsidRPr="003019FF" w:rsidSect="006318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DDA5F" w14:textId="77777777" w:rsidR="009017FE" w:rsidRDefault="009017FE">
      <w:r>
        <w:separator/>
      </w:r>
    </w:p>
  </w:endnote>
  <w:endnote w:type="continuationSeparator" w:id="0">
    <w:p w14:paraId="7428DCD9" w14:textId="77777777" w:rsidR="009017FE" w:rsidRDefault="009017FE">
      <w:r>
        <w:continuationSeparator/>
      </w:r>
    </w:p>
  </w:endnote>
  <w:endnote w:type="continuationNotice" w:id="1">
    <w:p w14:paraId="3C2736DA" w14:textId="77777777" w:rsidR="009017FE" w:rsidRDefault="009017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5115F" w14:textId="77777777" w:rsidR="009017FE" w:rsidRDefault="009017FE">
      <w:r>
        <w:separator/>
      </w:r>
    </w:p>
  </w:footnote>
  <w:footnote w:type="continuationSeparator" w:id="0">
    <w:p w14:paraId="5242D2D5" w14:textId="77777777" w:rsidR="009017FE" w:rsidRDefault="009017FE">
      <w:r>
        <w:continuationSeparator/>
      </w:r>
    </w:p>
  </w:footnote>
  <w:footnote w:type="continuationNotice" w:id="1">
    <w:p w14:paraId="3B0332E7" w14:textId="77777777" w:rsidR="009017FE" w:rsidRDefault="009017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cs="Times New Roman" w:hint="default"/>
      </w:rPr>
    </w:lvl>
    <w:lvl w:ilvl="1" w:tplc="D402D580">
      <w:start w:val="2576"/>
      <w:numFmt w:val="bullet"/>
      <w:lvlText w:val="–"/>
      <w:lvlJc w:val="left"/>
      <w:pPr>
        <w:tabs>
          <w:tab w:val="num" w:pos="1440"/>
        </w:tabs>
        <w:ind w:left="1440" w:hanging="360"/>
      </w:pPr>
      <w:rPr>
        <w:rFonts w:ascii="Arial" w:hAnsi="Arial" w:cs="Times New Roman" w:hint="default"/>
      </w:rPr>
    </w:lvl>
    <w:lvl w:ilvl="2" w:tplc="3C26FABA">
      <w:start w:val="2576"/>
      <w:numFmt w:val="bullet"/>
      <w:lvlText w:val="•"/>
      <w:lvlJc w:val="left"/>
      <w:pPr>
        <w:tabs>
          <w:tab w:val="num" w:pos="2160"/>
        </w:tabs>
        <w:ind w:left="2160" w:hanging="360"/>
      </w:pPr>
      <w:rPr>
        <w:rFonts w:ascii="Arial" w:hAnsi="Arial" w:cs="Times New Roman" w:hint="default"/>
      </w:rPr>
    </w:lvl>
    <w:lvl w:ilvl="3" w:tplc="3F424968">
      <w:start w:val="1"/>
      <w:numFmt w:val="bullet"/>
      <w:lvlText w:val="•"/>
      <w:lvlJc w:val="left"/>
      <w:pPr>
        <w:tabs>
          <w:tab w:val="num" w:pos="2880"/>
        </w:tabs>
        <w:ind w:left="2880" w:hanging="360"/>
      </w:pPr>
      <w:rPr>
        <w:rFonts w:ascii="Arial" w:hAnsi="Arial" w:cs="Times New Roman" w:hint="default"/>
      </w:rPr>
    </w:lvl>
    <w:lvl w:ilvl="4" w:tplc="94F2A626">
      <w:start w:val="1"/>
      <w:numFmt w:val="bullet"/>
      <w:lvlText w:val="•"/>
      <w:lvlJc w:val="left"/>
      <w:pPr>
        <w:tabs>
          <w:tab w:val="num" w:pos="3600"/>
        </w:tabs>
        <w:ind w:left="3600" w:hanging="360"/>
      </w:pPr>
      <w:rPr>
        <w:rFonts w:ascii="Arial" w:hAnsi="Arial" w:cs="Times New Roman" w:hint="default"/>
      </w:rPr>
    </w:lvl>
    <w:lvl w:ilvl="5" w:tplc="97A6212A">
      <w:start w:val="1"/>
      <w:numFmt w:val="bullet"/>
      <w:lvlText w:val="•"/>
      <w:lvlJc w:val="left"/>
      <w:pPr>
        <w:tabs>
          <w:tab w:val="num" w:pos="4320"/>
        </w:tabs>
        <w:ind w:left="4320" w:hanging="360"/>
      </w:pPr>
      <w:rPr>
        <w:rFonts w:ascii="Arial" w:hAnsi="Arial" w:cs="Times New Roman" w:hint="default"/>
      </w:rPr>
    </w:lvl>
    <w:lvl w:ilvl="6" w:tplc="9078CA44">
      <w:start w:val="1"/>
      <w:numFmt w:val="bullet"/>
      <w:lvlText w:val="•"/>
      <w:lvlJc w:val="left"/>
      <w:pPr>
        <w:tabs>
          <w:tab w:val="num" w:pos="5040"/>
        </w:tabs>
        <w:ind w:left="5040" w:hanging="360"/>
      </w:pPr>
      <w:rPr>
        <w:rFonts w:ascii="Arial" w:hAnsi="Arial" w:cs="Times New Roman" w:hint="default"/>
      </w:rPr>
    </w:lvl>
    <w:lvl w:ilvl="7" w:tplc="3BBC0B78">
      <w:start w:val="1"/>
      <w:numFmt w:val="bullet"/>
      <w:lvlText w:val="•"/>
      <w:lvlJc w:val="left"/>
      <w:pPr>
        <w:tabs>
          <w:tab w:val="num" w:pos="5760"/>
        </w:tabs>
        <w:ind w:left="5760" w:hanging="360"/>
      </w:pPr>
      <w:rPr>
        <w:rFonts w:ascii="Arial" w:hAnsi="Arial" w:cs="Times New Roman" w:hint="default"/>
      </w:rPr>
    </w:lvl>
    <w:lvl w:ilvl="8" w:tplc="48D0D626">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4D3903"/>
    <w:multiLevelType w:val="hybridMultilevel"/>
    <w:tmpl w:val="5008CA1A"/>
    <w:lvl w:ilvl="0" w:tplc="040B0001">
      <w:start w:val="1"/>
      <w:numFmt w:val="bullet"/>
      <w:lvlText w:val=""/>
      <w:lvlJc w:val="left"/>
      <w:pPr>
        <w:ind w:left="1212" w:hanging="360"/>
      </w:pPr>
      <w:rPr>
        <w:rFonts w:ascii="Symbol" w:hAnsi="Symbol" w:hint="default"/>
      </w:rPr>
    </w:lvl>
    <w:lvl w:ilvl="1" w:tplc="040B0003" w:tentative="1">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7"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6A79FE"/>
    <w:multiLevelType w:val="hybridMultilevel"/>
    <w:tmpl w:val="B67ADB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00505E0"/>
    <w:multiLevelType w:val="hybridMultilevel"/>
    <w:tmpl w:val="42FACE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86A35"/>
    <w:multiLevelType w:val="hybridMultilevel"/>
    <w:tmpl w:val="6BE466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113989"/>
    <w:multiLevelType w:val="hybridMultilevel"/>
    <w:tmpl w:val="1CE601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F17DA3"/>
    <w:multiLevelType w:val="hybridMultilevel"/>
    <w:tmpl w:val="4454BCC2"/>
    <w:lvl w:ilvl="0" w:tplc="FE245642">
      <w:start w:val="1"/>
      <w:numFmt w:val="bullet"/>
      <w:lvlText w:val="•"/>
      <w:lvlJc w:val="left"/>
      <w:pPr>
        <w:tabs>
          <w:tab w:val="num" w:pos="720"/>
        </w:tabs>
        <w:ind w:left="720" w:hanging="360"/>
      </w:pPr>
      <w:rPr>
        <w:rFonts w:ascii="Arial" w:hAnsi="Arial" w:hint="default"/>
      </w:rPr>
    </w:lvl>
    <w:lvl w:ilvl="1" w:tplc="A15E1206" w:tentative="1">
      <w:start w:val="1"/>
      <w:numFmt w:val="bullet"/>
      <w:lvlText w:val="•"/>
      <w:lvlJc w:val="left"/>
      <w:pPr>
        <w:tabs>
          <w:tab w:val="num" w:pos="1440"/>
        </w:tabs>
        <w:ind w:left="1440" w:hanging="360"/>
      </w:pPr>
      <w:rPr>
        <w:rFonts w:ascii="Arial" w:hAnsi="Arial" w:hint="default"/>
      </w:rPr>
    </w:lvl>
    <w:lvl w:ilvl="2" w:tplc="D930BEAA" w:tentative="1">
      <w:start w:val="1"/>
      <w:numFmt w:val="bullet"/>
      <w:lvlText w:val="•"/>
      <w:lvlJc w:val="left"/>
      <w:pPr>
        <w:tabs>
          <w:tab w:val="num" w:pos="2160"/>
        </w:tabs>
        <w:ind w:left="2160" w:hanging="360"/>
      </w:pPr>
      <w:rPr>
        <w:rFonts w:ascii="Arial" w:hAnsi="Arial" w:hint="default"/>
      </w:rPr>
    </w:lvl>
    <w:lvl w:ilvl="3" w:tplc="0A42C87E" w:tentative="1">
      <w:start w:val="1"/>
      <w:numFmt w:val="bullet"/>
      <w:lvlText w:val="•"/>
      <w:lvlJc w:val="left"/>
      <w:pPr>
        <w:tabs>
          <w:tab w:val="num" w:pos="2880"/>
        </w:tabs>
        <w:ind w:left="2880" w:hanging="360"/>
      </w:pPr>
      <w:rPr>
        <w:rFonts w:ascii="Arial" w:hAnsi="Arial" w:hint="default"/>
      </w:rPr>
    </w:lvl>
    <w:lvl w:ilvl="4" w:tplc="05642EF6">
      <w:start w:val="1"/>
      <w:numFmt w:val="bullet"/>
      <w:lvlText w:val="•"/>
      <w:lvlJc w:val="left"/>
      <w:pPr>
        <w:tabs>
          <w:tab w:val="num" w:pos="3600"/>
        </w:tabs>
        <w:ind w:left="3600" w:hanging="360"/>
      </w:pPr>
      <w:rPr>
        <w:rFonts w:ascii="Arial" w:hAnsi="Arial" w:hint="default"/>
      </w:rPr>
    </w:lvl>
    <w:lvl w:ilvl="5" w:tplc="14706D66">
      <w:numFmt w:val="bullet"/>
      <w:lvlText w:val="•"/>
      <w:lvlJc w:val="left"/>
      <w:pPr>
        <w:tabs>
          <w:tab w:val="num" w:pos="4320"/>
        </w:tabs>
        <w:ind w:left="4320" w:hanging="360"/>
      </w:pPr>
      <w:rPr>
        <w:rFonts w:ascii="Arial" w:hAnsi="Arial" w:hint="default"/>
      </w:rPr>
    </w:lvl>
    <w:lvl w:ilvl="6" w:tplc="6C022A14" w:tentative="1">
      <w:start w:val="1"/>
      <w:numFmt w:val="bullet"/>
      <w:lvlText w:val="•"/>
      <w:lvlJc w:val="left"/>
      <w:pPr>
        <w:tabs>
          <w:tab w:val="num" w:pos="5040"/>
        </w:tabs>
        <w:ind w:left="5040" w:hanging="360"/>
      </w:pPr>
      <w:rPr>
        <w:rFonts w:ascii="Arial" w:hAnsi="Arial" w:hint="default"/>
      </w:rPr>
    </w:lvl>
    <w:lvl w:ilvl="7" w:tplc="C194F260" w:tentative="1">
      <w:start w:val="1"/>
      <w:numFmt w:val="bullet"/>
      <w:lvlText w:val="•"/>
      <w:lvlJc w:val="left"/>
      <w:pPr>
        <w:tabs>
          <w:tab w:val="num" w:pos="5760"/>
        </w:tabs>
        <w:ind w:left="5760" w:hanging="360"/>
      </w:pPr>
      <w:rPr>
        <w:rFonts w:ascii="Arial" w:hAnsi="Arial" w:hint="default"/>
      </w:rPr>
    </w:lvl>
    <w:lvl w:ilvl="8" w:tplc="F294DD0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0B10DCF"/>
    <w:multiLevelType w:val="hybridMultilevel"/>
    <w:tmpl w:val="F162D82E"/>
    <w:lvl w:ilvl="0" w:tplc="B504ED30">
      <w:start w:val="12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6A46C5"/>
    <w:multiLevelType w:val="hybridMultilevel"/>
    <w:tmpl w:val="6DC6BC80"/>
    <w:lvl w:ilvl="0" w:tplc="055289C2">
      <w:start w:val="1"/>
      <w:numFmt w:val="bullet"/>
      <w:lvlText w:val="•"/>
      <w:lvlJc w:val="left"/>
      <w:pPr>
        <w:tabs>
          <w:tab w:val="num" w:pos="720"/>
        </w:tabs>
        <w:ind w:left="720" w:hanging="360"/>
      </w:pPr>
      <w:rPr>
        <w:rFonts w:ascii="Arial" w:hAnsi="Arial" w:cs="Times New Roman" w:hint="default"/>
      </w:rPr>
    </w:lvl>
    <w:lvl w:ilvl="1" w:tplc="3EB4E480">
      <w:numFmt w:val="bullet"/>
      <w:lvlText w:val="–"/>
      <w:lvlJc w:val="left"/>
      <w:pPr>
        <w:tabs>
          <w:tab w:val="num" w:pos="1440"/>
        </w:tabs>
        <w:ind w:left="1440" w:hanging="360"/>
      </w:pPr>
      <w:rPr>
        <w:rFonts w:ascii="Arial" w:hAnsi="Arial" w:cs="Times New Roman" w:hint="default"/>
      </w:rPr>
    </w:lvl>
    <w:lvl w:ilvl="2" w:tplc="9F24AA4E">
      <w:numFmt w:val="bullet"/>
      <w:lvlText w:val="•"/>
      <w:lvlJc w:val="left"/>
      <w:pPr>
        <w:tabs>
          <w:tab w:val="num" w:pos="2160"/>
        </w:tabs>
        <w:ind w:left="2160" w:hanging="360"/>
      </w:pPr>
      <w:rPr>
        <w:rFonts w:ascii="Arial" w:hAnsi="Arial" w:cs="Times New Roman" w:hint="default"/>
      </w:rPr>
    </w:lvl>
    <w:lvl w:ilvl="3" w:tplc="E8ACBCFC">
      <w:start w:val="1"/>
      <w:numFmt w:val="bullet"/>
      <w:lvlText w:val="•"/>
      <w:lvlJc w:val="left"/>
      <w:pPr>
        <w:tabs>
          <w:tab w:val="num" w:pos="2880"/>
        </w:tabs>
        <w:ind w:left="2880" w:hanging="360"/>
      </w:pPr>
      <w:rPr>
        <w:rFonts w:ascii="Arial" w:hAnsi="Arial" w:cs="Times New Roman" w:hint="default"/>
      </w:rPr>
    </w:lvl>
    <w:lvl w:ilvl="4" w:tplc="8A6007F2">
      <w:start w:val="1"/>
      <w:numFmt w:val="bullet"/>
      <w:lvlText w:val="•"/>
      <w:lvlJc w:val="left"/>
      <w:pPr>
        <w:tabs>
          <w:tab w:val="num" w:pos="3600"/>
        </w:tabs>
        <w:ind w:left="3600" w:hanging="360"/>
      </w:pPr>
      <w:rPr>
        <w:rFonts w:ascii="Arial" w:hAnsi="Arial" w:cs="Times New Roman" w:hint="default"/>
      </w:rPr>
    </w:lvl>
    <w:lvl w:ilvl="5" w:tplc="08E6B3EC">
      <w:start w:val="1"/>
      <w:numFmt w:val="bullet"/>
      <w:lvlText w:val="•"/>
      <w:lvlJc w:val="left"/>
      <w:pPr>
        <w:tabs>
          <w:tab w:val="num" w:pos="4320"/>
        </w:tabs>
        <w:ind w:left="4320" w:hanging="360"/>
      </w:pPr>
      <w:rPr>
        <w:rFonts w:ascii="Arial" w:hAnsi="Arial" w:cs="Times New Roman" w:hint="default"/>
      </w:rPr>
    </w:lvl>
    <w:lvl w:ilvl="6" w:tplc="16866B44">
      <w:start w:val="1"/>
      <w:numFmt w:val="bullet"/>
      <w:lvlText w:val="•"/>
      <w:lvlJc w:val="left"/>
      <w:pPr>
        <w:tabs>
          <w:tab w:val="num" w:pos="5040"/>
        </w:tabs>
        <w:ind w:left="5040" w:hanging="360"/>
      </w:pPr>
      <w:rPr>
        <w:rFonts w:ascii="Arial" w:hAnsi="Arial" w:cs="Times New Roman" w:hint="default"/>
      </w:rPr>
    </w:lvl>
    <w:lvl w:ilvl="7" w:tplc="9C6EAA74">
      <w:start w:val="1"/>
      <w:numFmt w:val="bullet"/>
      <w:lvlText w:val="•"/>
      <w:lvlJc w:val="left"/>
      <w:pPr>
        <w:tabs>
          <w:tab w:val="num" w:pos="5760"/>
        </w:tabs>
        <w:ind w:left="5760" w:hanging="360"/>
      </w:pPr>
      <w:rPr>
        <w:rFonts w:ascii="Arial" w:hAnsi="Arial" w:cs="Times New Roman" w:hint="default"/>
      </w:rPr>
    </w:lvl>
    <w:lvl w:ilvl="8" w:tplc="AB6C0156">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7F435C"/>
    <w:multiLevelType w:val="hybridMultilevel"/>
    <w:tmpl w:val="D97866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07594C"/>
    <w:multiLevelType w:val="hybridMultilevel"/>
    <w:tmpl w:val="E0A4A8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4DE04B10"/>
    <w:multiLevelType w:val="hybridMultilevel"/>
    <w:tmpl w:val="F42A7D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1E3356"/>
    <w:multiLevelType w:val="hybridMultilevel"/>
    <w:tmpl w:val="54F83D6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621E7493"/>
    <w:multiLevelType w:val="hybridMultilevel"/>
    <w:tmpl w:val="0B6A3FEC"/>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8" w15:restartNumberingAfterBreak="0">
    <w:nsid w:val="67600A8D"/>
    <w:multiLevelType w:val="hybridMultilevel"/>
    <w:tmpl w:val="014866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1580AD6"/>
    <w:multiLevelType w:val="hybridMultilevel"/>
    <w:tmpl w:val="BF3CED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830CDB"/>
    <w:multiLevelType w:val="hybridMultilevel"/>
    <w:tmpl w:val="94C84480"/>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9"/>
  </w:num>
  <w:num w:numId="2">
    <w:abstractNumId w:val="5"/>
  </w:num>
  <w:num w:numId="3">
    <w:abstractNumId w:val="18"/>
  </w:num>
  <w:num w:numId="4">
    <w:abstractNumId w:val="16"/>
  </w:num>
  <w:num w:numId="5">
    <w:abstractNumId w:val="43"/>
  </w:num>
  <w:num w:numId="6">
    <w:abstractNumId w:val="10"/>
  </w:num>
  <w:num w:numId="7">
    <w:abstractNumId w:val="40"/>
  </w:num>
  <w:num w:numId="8">
    <w:abstractNumId w:val="30"/>
  </w:num>
  <w:num w:numId="9">
    <w:abstractNumId w:val="41"/>
  </w:num>
  <w:num w:numId="10">
    <w:abstractNumId w:val="22"/>
  </w:num>
  <w:num w:numId="11">
    <w:abstractNumId w:val="1"/>
  </w:num>
  <w:num w:numId="12">
    <w:abstractNumId w:val="17"/>
  </w:num>
  <w:num w:numId="13">
    <w:abstractNumId w:val="24"/>
  </w:num>
  <w:num w:numId="14">
    <w:abstractNumId w:val="7"/>
  </w:num>
  <w:num w:numId="15">
    <w:abstractNumId w:val="35"/>
  </w:num>
  <w:num w:numId="16">
    <w:abstractNumId w:val="27"/>
  </w:num>
  <w:num w:numId="17">
    <w:abstractNumId w:val="20"/>
  </w:num>
  <w:num w:numId="18">
    <w:abstractNumId w:val="46"/>
  </w:num>
  <w:num w:numId="19">
    <w:abstractNumId w:val="9"/>
  </w:num>
  <w:num w:numId="20">
    <w:abstractNumId w:val="32"/>
  </w:num>
  <w:num w:numId="21">
    <w:abstractNumId w:val="8"/>
  </w:num>
  <w:num w:numId="22">
    <w:abstractNumId w:val="28"/>
  </w:num>
  <w:num w:numId="23">
    <w:abstractNumId w:val="26"/>
  </w:num>
  <w:num w:numId="24">
    <w:abstractNumId w:val="2"/>
  </w:num>
  <w:num w:numId="25">
    <w:abstractNumId w:val="39"/>
  </w:num>
  <w:num w:numId="26">
    <w:abstractNumId w:val="14"/>
  </w:num>
  <w:num w:numId="27">
    <w:abstractNumId w:val="3"/>
  </w:num>
  <w:num w:numId="28">
    <w:abstractNumId w:val="4"/>
  </w:num>
  <w:num w:numId="29">
    <w:abstractNumId w:val="45"/>
  </w:num>
  <w:num w:numId="30">
    <w:abstractNumId w:val="42"/>
  </w:num>
  <w:num w:numId="31">
    <w:abstractNumId w:val="25"/>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3"/>
  </w:num>
  <w:num w:numId="35">
    <w:abstractNumId w:val="33"/>
  </w:num>
  <w:num w:numId="36">
    <w:abstractNumId w:val="15"/>
  </w:num>
  <w:num w:numId="37">
    <w:abstractNumId w:val="27"/>
  </w:num>
  <w:num w:numId="38">
    <w:abstractNumId w:val="29"/>
  </w:num>
  <w:num w:numId="39">
    <w:abstractNumId w:val="0"/>
  </w:num>
  <w:num w:numId="40">
    <w:abstractNumId w:val="23"/>
  </w:num>
  <w:num w:numId="41">
    <w:abstractNumId w:val="34"/>
  </w:num>
  <w:num w:numId="42">
    <w:abstractNumId w:val="37"/>
  </w:num>
  <w:num w:numId="43">
    <w:abstractNumId w:val="6"/>
  </w:num>
  <w:num w:numId="44">
    <w:abstractNumId w:val="47"/>
  </w:num>
  <w:num w:numId="45">
    <w:abstractNumId w:val="36"/>
  </w:num>
  <w:num w:numId="46">
    <w:abstractNumId w:val="11"/>
  </w:num>
  <w:num w:numId="47">
    <w:abstractNumId w:val="44"/>
  </w:num>
  <w:num w:numId="48">
    <w:abstractNumId w:val="38"/>
  </w:num>
  <w:num w:numId="49">
    <w:abstractNumId w:val="21"/>
  </w:num>
  <w:num w:numId="50">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0287"/>
    <w:rsid w:val="0004132D"/>
    <w:rsid w:val="000433EA"/>
    <w:rsid w:val="00044CFA"/>
    <w:rsid w:val="000459C7"/>
    <w:rsid w:val="00046630"/>
    <w:rsid w:val="00046C80"/>
    <w:rsid w:val="00046D41"/>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03DB"/>
    <w:rsid w:val="00081EC2"/>
    <w:rsid w:val="00083800"/>
    <w:rsid w:val="00084A65"/>
    <w:rsid w:val="000861F6"/>
    <w:rsid w:val="00091017"/>
    <w:rsid w:val="00091A92"/>
    <w:rsid w:val="00093AAD"/>
    <w:rsid w:val="00093C49"/>
    <w:rsid w:val="00095A80"/>
    <w:rsid w:val="000973E1"/>
    <w:rsid w:val="000A0D39"/>
    <w:rsid w:val="000A1402"/>
    <w:rsid w:val="000A20BA"/>
    <w:rsid w:val="000A21D7"/>
    <w:rsid w:val="000A262C"/>
    <w:rsid w:val="000A3C8D"/>
    <w:rsid w:val="000A40EC"/>
    <w:rsid w:val="000A446A"/>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873"/>
    <w:rsid w:val="00114E96"/>
    <w:rsid w:val="0011705B"/>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3402"/>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12F9"/>
    <w:rsid w:val="001818A7"/>
    <w:rsid w:val="00182725"/>
    <w:rsid w:val="00182972"/>
    <w:rsid w:val="001829C8"/>
    <w:rsid w:val="00186904"/>
    <w:rsid w:val="00186B0A"/>
    <w:rsid w:val="001905BD"/>
    <w:rsid w:val="00192641"/>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F"/>
    <w:rsid w:val="001C66AC"/>
    <w:rsid w:val="001C66EE"/>
    <w:rsid w:val="001C6754"/>
    <w:rsid w:val="001C77F0"/>
    <w:rsid w:val="001D46A0"/>
    <w:rsid w:val="001D7282"/>
    <w:rsid w:val="001D7A56"/>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CD5"/>
    <w:rsid w:val="001F4DAC"/>
    <w:rsid w:val="001F5019"/>
    <w:rsid w:val="001F67AA"/>
    <w:rsid w:val="001F7599"/>
    <w:rsid w:val="0020077E"/>
    <w:rsid w:val="00204B3A"/>
    <w:rsid w:val="00204FCD"/>
    <w:rsid w:val="0020535A"/>
    <w:rsid w:val="00206955"/>
    <w:rsid w:val="00210309"/>
    <w:rsid w:val="00212FB8"/>
    <w:rsid w:val="00213709"/>
    <w:rsid w:val="002149AF"/>
    <w:rsid w:val="00214A86"/>
    <w:rsid w:val="00215AAA"/>
    <w:rsid w:val="0021685C"/>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1EAE"/>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77DD0"/>
    <w:rsid w:val="002830DC"/>
    <w:rsid w:val="00283309"/>
    <w:rsid w:val="00284E32"/>
    <w:rsid w:val="002851EB"/>
    <w:rsid w:val="00285510"/>
    <w:rsid w:val="00285DE2"/>
    <w:rsid w:val="0028616D"/>
    <w:rsid w:val="00286965"/>
    <w:rsid w:val="0029136E"/>
    <w:rsid w:val="00292399"/>
    <w:rsid w:val="00294445"/>
    <w:rsid w:val="00294B4D"/>
    <w:rsid w:val="00295C46"/>
    <w:rsid w:val="002960D5"/>
    <w:rsid w:val="0029703E"/>
    <w:rsid w:val="002A1062"/>
    <w:rsid w:val="002A2413"/>
    <w:rsid w:val="002A2F5E"/>
    <w:rsid w:val="002A352A"/>
    <w:rsid w:val="002A607D"/>
    <w:rsid w:val="002A6B09"/>
    <w:rsid w:val="002B132E"/>
    <w:rsid w:val="002B2813"/>
    <w:rsid w:val="002B2D29"/>
    <w:rsid w:val="002C1018"/>
    <w:rsid w:val="002C1EEA"/>
    <w:rsid w:val="002C3EAA"/>
    <w:rsid w:val="002C6034"/>
    <w:rsid w:val="002C635B"/>
    <w:rsid w:val="002C7CFF"/>
    <w:rsid w:val="002D0BC6"/>
    <w:rsid w:val="002D17C5"/>
    <w:rsid w:val="002D2190"/>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2D6"/>
    <w:rsid w:val="002F695B"/>
    <w:rsid w:val="002F72DA"/>
    <w:rsid w:val="002F76B1"/>
    <w:rsid w:val="002F7D66"/>
    <w:rsid w:val="002F7DBE"/>
    <w:rsid w:val="0030090B"/>
    <w:rsid w:val="003019FF"/>
    <w:rsid w:val="00302AE8"/>
    <w:rsid w:val="00302BB1"/>
    <w:rsid w:val="00304210"/>
    <w:rsid w:val="003048D7"/>
    <w:rsid w:val="00304AD1"/>
    <w:rsid w:val="00304AD2"/>
    <w:rsid w:val="003062E6"/>
    <w:rsid w:val="003068B6"/>
    <w:rsid w:val="003071F6"/>
    <w:rsid w:val="00310E89"/>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2A4"/>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745"/>
    <w:rsid w:val="00357B9C"/>
    <w:rsid w:val="00361412"/>
    <w:rsid w:val="003615CA"/>
    <w:rsid w:val="00362017"/>
    <w:rsid w:val="00363B5F"/>
    <w:rsid w:val="003642A6"/>
    <w:rsid w:val="00367337"/>
    <w:rsid w:val="00367FD8"/>
    <w:rsid w:val="00370B63"/>
    <w:rsid w:val="00370FCC"/>
    <w:rsid w:val="003711AF"/>
    <w:rsid w:val="00374848"/>
    <w:rsid w:val="00375D01"/>
    <w:rsid w:val="00375D09"/>
    <w:rsid w:val="0037739D"/>
    <w:rsid w:val="0037751C"/>
    <w:rsid w:val="00380F3F"/>
    <w:rsid w:val="00382232"/>
    <w:rsid w:val="00382F1A"/>
    <w:rsid w:val="0038303D"/>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2A84"/>
    <w:rsid w:val="003D3FBA"/>
    <w:rsid w:val="003D402B"/>
    <w:rsid w:val="003D764F"/>
    <w:rsid w:val="003E0667"/>
    <w:rsid w:val="003E0BCE"/>
    <w:rsid w:val="003E13E0"/>
    <w:rsid w:val="003E1660"/>
    <w:rsid w:val="003E1CD1"/>
    <w:rsid w:val="003E2A2D"/>
    <w:rsid w:val="003E64A9"/>
    <w:rsid w:val="003E78D7"/>
    <w:rsid w:val="003E7905"/>
    <w:rsid w:val="003F0336"/>
    <w:rsid w:val="003F5547"/>
    <w:rsid w:val="003F5C40"/>
    <w:rsid w:val="003F6E12"/>
    <w:rsid w:val="003F75ED"/>
    <w:rsid w:val="004002B7"/>
    <w:rsid w:val="00400AD0"/>
    <w:rsid w:val="00400F31"/>
    <w:rsid w:val="004050AE"/>
    <w:rsid w:val="00406B4D"/>
    <w:rsid w:val="004142CD"/>
    <w:rsid w:val="0041443C"/>
    <w:rsid w:val="004154F7"/>
    <w:rsid w:val="00417285"/>
    <w:rsid w:val="004176FF"/>
    <w:rsid w:val="004241C5"/>
    <w:rsid w:val="00424FA7"/>
    <w:rsid w:val="00426A87"/>
    <w:rsid w:val="004309D8"/>
    <w:rsid w:val="004313D1"/>
    <w:rsid w:val="00432110"/>
    <w:rsid w:val="00433EBE"/>
    <w:rsid w:val="00434406"/>
    <w:rsid w:val="00435EF3"/>
    <w:rsid w:val="00441B92"/>
    <w:rsid w:val="0044321F"/>
    <w:rsid w:val="0044474B"/>
    <w:rsid w:val="00444AB9"/>
    <w:rsid w:val="00444F93"/>
    <w:rsid w:val="00445FF7"/>
    <w:rsid w:val="00452B14"/>
    <w:rsid w:val="00453341"/>
    <w:rsid w:val="004545C6"/>
    <w:rsid w:val="00454DCA"/>
    <w:rsid w:val="00456544"/>
    <w:rsid w:val="00456649"/>
    <w:rsid w:val="004567B7"/>
    <w:rsid w:val="00456856"/>
    <w:rsid w:val="00456B7D"/>
    <w:rsid w:val="0045714C"/>
    <w:rsid w:val="004571C3"/>
    <w:rsid w:val="00461210"/>
    <w:rsid w:val="00462490"/>
    <w:rsid w:val="00465299"/>
    <w:rsid w:val="00466A0F"/>
    <w:rsid w:val="0046795B"/>
    <w:rsid w:val="00471863"/>
    <w:rsid w:val="00473A14"/>
    <w:rsid w:val="00473E49"/>
    <w:rsid w:val="00474CA8"/>
    <w:rsid w:val="00474E43"/>
    <w:rsid w:val="00475229"/>
    <w:rsid w:val="00481D90"/>
    <w:rsid w:val="004827D3"/>
    <w:rsid w:val="00482CD4"/>
    <w:rsid w:val="00483261"/>
    <w:rsid w:val="00485B23"/>
    <w:rsid w:val="004874E4"/>
    <w:rsid w:val="0049070D"/>
    <w:rsid w:val="0049108D"/>
    <w:rsid w:val="00491DB2"/>
    <w:rsid w:val="00492877"/>
    <w:rsid w:val="00496DC2"/>
    <w:rsid w:val="00496E75"/>
    <w:rsid w:val="004A014C"/>
    <w:rsid w:val="004A015B"/>
    <w:rsid w:val="004A03B1"/>
    <w:rsid w:val="004A0AA8"/>
    <w:rsid w:val="004A1FE4"/>
    <w:rsid w:val="004A2CA9"/>
    <w:rsid w:val="004A2FCA"/>
    <w:rsid w:val="004A3CB5"/>
    <w:rsid w:val="004A537D"/>
    <w:rsid w:val="004A67F0"/>
    <w:rsid w:val="004A71C3"/>
    <w:rsid w:val="004A7769"/>
    <w:rsid w:val="004B15E2"/>
    <w:rsid w:val="004B23AD"/>
    <w:rsid w:val="004B2965"/>
    <w:rsid w:val="004B4224"/>
    <w:rsid w:val="004B45B5"/>
    <w:rsid w:val="004B4647"/>
    <w:rsid w:val="004B5F77"/>
    <w:rsid w:val="004B7455"/>
    <w:rsid w:val="004B74FF"/>
    <w:rsid w:val="004B7CE4"/>
    <w:rsid w:val="004C0401"/>
    <w:rsid w:val="004C14B3"/>
    <w:rsid w:val="004C183D"/>
    <w:rsid w:val="004C3BEB"/>
    <w:rsid w:val="004C3EEE"/>
    <w:rsid w:val="004C483D"/>
    <w:rsid w:val="004C7948"/>
    <w:rsid w:val="004C795A"/>
    <w:rsid w:val="004C7F93"/>
    <w:rsid w:val="004D201D"/>
    <w:rsid w:val="004D26B8"/>
    <w:rsid w:val="004D29CA"/>
    <w:rsid w:val="004D38C2"/>
    <w:rsid w:val="004D4FBD"/>
    <w:rsid w:val="004D4FC0"/>
    <w:rsid w:val="004D7DA8"/>
    <w:rsid w:val="004E2892"/>
    <w:rsid w:val="004E362B"/>
    <w:rsid w:val="004E3681"/>
    <w:rsid w:val="004E3D74"/>
    <w:rsid w:val="004E4075"/>
    <w:rsid w:val="004E784B"/>
    <w:rsid w:val="004F0224"/>
    <w:rsid w:val="004F0DB4"/>
    <w:rsid w:val="004F0E04"/>
    <w:rsid w:val="004F182A"/>
    <w:rsid w:val="004F1EBC"/>
    <w:rsid w:val="004F3659"/>
    <w:rsid w:val="004F3B71"/>
    <w:rsid w:val="004F5154"/>
    <w:rsid w:val="004F5835"/>
    <w:rsid w:val="004F661C"/>
    <w:rsid w:val="004F6D99"/>
    <w:rsid w:val="00500572"/>
    <w:rsid w:val="00501304"/>
    <w:rsid w:val="00501425"/>
    <w:rsid w:val="00501F99"/>
    <w:rsid w:val="005030E7"/>
    <w:rsid w:val="00504311"/>
    <w:rsid w:val="0050485C"/>
    <w:rsid w:val="00504AC6"/>
    <w:rsid w:val="00505F5A"/>
    <w:rsid w:val="00506FCA"/>
    <w:rsid w:val="00511079"/>
    <w:rsid w:val="00512829"/>
    <w:rsid w:val="00513449"/>
    <w:rsid w:val="0051423C"/>
    <w:rsid w:val="00514C91"/>
    <w:rsid w:val="00516241"/>
    <w:rsid w:val="005166E9"/>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2760"/>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84D"/>
    <w:rsid w:val="00570D9F"/>
    <w:rsid w:val="00571CA8"/>
    <w:rsid w:val="0057216F"/>
    <w:rsid w:val="00580793"/>
    <w:rsid w:val="00581470"/>
    <w:rsid w:val="00582087"/>
    <w:rsid w:val="005831DD"/>
    <w:rsid w:val="005839FF"/>
    <w:rsid w:val="00584320"/>
    <w:rsid w:val="00587229"/>
    <w:rsid w:val="00587503"/>
    <w:rsid w:val="00587E2C"/>
    <w:rsid w:val="00590E8D"/>
    <w:rsid w:val="00591511"/>
    <w:rsid w:val="0059331A"/>
    <w:rsid w:val="00596BBA"/>
    <w:rsid w:val="005975C4"/>
    <w:rsid w:val="00597ED8"/>
    <w:rsid w:val="005A2E77"/>
    <w:rsid w:val="005A34D5"/>
    <w:rsid w:val="005A3A3E"/>
    <w:rsid w:val="005A4904"/>
    <w:rsid w:val="005A515A"/>
    <w:rsid w:val="005A5DB8"/>
    <w:rsid w:val="005A704D"/>
    <w:rsid w:val="005B3C6D"/>
    <w:rsid w:val="005B609E"/>
    <w:rsid w:val="005B6DF6"/>
    <w:rsid w:val="005B7B7D"/>
    <w:rsid w:val="005C148B"/>
    <w:rsid w:val="005C1948"/>
    <w:rsid w:val="005C263C"/>
    <w:rsid w:val="005C2679"/>
    <w:rsid w:val="005D07C5"/>
    <w:rsid w:val="005D4302"/>
    <w:rsid w:val="005D5A20"/>
    <w:rsid w:val="005D5F19"/>
    <w:rsid w:val="005D6C09"/>
    <w:rsid w:val="005D786C"/>
    <w:rsid w:val="005E049F"/>
    <w:rsid w:val="005E2C10"/>
    <w:rsid w:val="005E3073"/>
    <w:rsid w:val="005E3142"/>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51AA"/>
    <w:rsid w:val="0060683E"/>
    <w:rsid w:val="00606A26"/>
    <w:rsid w:val="00607D81"/>
    <w:rsid w:val="00610747"/>
    <w:rsid w:val="0061176E"/>
    <w:rsid w:val="00614CD1"/>
    <w:rsid w:val="0061567B"/>
    <w:rsid w:val="0062152A"/>
    <w:rsid w:val="00623583"/>
    <w:rsid w:val="0062462F"/>
    <w:rsid w:val="00624BA1"/>
    <w:rsid w:val="0062661B"/>
    <w:rsid w:val="00626ACA"/>
    <w:rsid w:val="006276B8"/>
    <w:rsid w:val="00630118"/>
    <w:rsid w:val="006310AE"/>
    <w:rsid w:val="0063180D"/>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0B3"/>
    <w:rsid w:val="00674E6A"/>
    <w:rsid w:val="006751A5"/>
    <w:rsid w:val="00676A64"/>
    <w:rsid w:val="00677925"/>
    <w:rsid w:val="00680B71"/>
    <w:rsid w:val="00680F46"/>
    <w:rsid w:val="00681E7A"/>
    <w:rsid w:val="00682B53"/>
    <w:rsid w:val="00682F27"/>
    <w:rsid w:val="00685896"/>
    <w:rsid w:val="00686F6F"/>
    <w:rsid w:val="00690E2E"/>
    <w:rsid w:val="00692297"/>
    <w:rsid w:val="006932E7"/>
    <w:rsid w:val="00693347"/>
    <w:rsid w:val="0069334C"/>
    <w:rsid w:val="00696D63"/>
    <w:rsid w:val="00697F1C"/>
    <w:rsid w:val="006A032F"/>
    <w:rsid w:val="006A1D91"/>
    <w:rsid w:val="006A41AE"/>
    <w:rsid w:val="006A4856"/>
    <w:rsid w:val="006A564B"/>
    <w:rsid w:val="006B1545"/>
    <w:rsid w:val="006B2DA7"/>
    <w:rsid w:val="006B2F4D"/>
    <w:rsid w:val="006B3682"/>
    <w:rsid w:val="006B4498"/>
    <w:rsid w:val="006B48CB"/>
    <w:rsid w:val="006B4DB2"/>
    <w:rsid w:val="006B6A50"/>
    <w:rsid w:val="006B7B35"/>
    <w:rsid w:val="006C1445"/>
    <w:rsid w:val="006C4FC1"/>
    <w:rsid w:val="006C529D"/>
    <w:rsid w:val="006D0E6B"/>
    <w:rsid w:val="006D2146"/>
    <w:rsid w:val="006D5BCA"/>
    <w:rsid w:val="006E094A"/>
    <w:rsid w:val="006E12B1"/>
    <w:rsid w:val="006E13D1"/>
    <w:rsid w:val="006E140D"/>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075C4"/>
    <w:rsid w:val="00710390"/>
    <w:rsid w:val="0071118B"/>
    <w:rsid w:val="00711E13"/>
    <w:rsid w:val="0071233A"/>
    <w:rsid w:val="00712EDA"/>
    <w:rsid w:val="007136D0"/>
    <w:rsid w:val="007155A9"/>
    <w:rsid w:val="007158E1"/>
    <w:rsid w:val="0071598E"/>
    <w:rsid w:val="00715D07"/>
    <w:rsid w:val="0071705B"/>
    <w:rsid w:val="00720505"/>
    <w:rsid w:val="00722312"/>
    <w:rsid w:val="007236A3"/>
    <w:rsid w:val="007239B6"/>
    <w:rsid w:val="0072490A"/>
    <w:rsid w:val="0072517D"/>
    <w:rsid w:val="00726878"/>
    <w:rsid w:val="0073124A"/>
    <w:rsid w:val="00733893"/>
    <w:rsid w:val="00734A05"/>
    <w:rsid w:val="00735C6F"/>
    <w:rsid w:val="00735F5D"/>
    <w:rsid w:val="00750585"/>
    <w:rsid w:val="00750CFC"/>
    <w:rsid w:val="00753BB5"/>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6EA1"/>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09CA"/>
    <w:rsid w:val="007C12BE"/>
    <w:rsid w:val="007C17BA"/>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1905"/>
    <w:rsid w:val="007E79C5"/>
    <w:rsid w:val="007F2635"/>
    <w:rsid w:val="007F43BC"/>
    <w:rsid w:val="007F4740"/>
    <w:rsid w:val="007F7CA6"/>
    <w:rsid w:val="008006C6"/>
    <w:rsid w:val="0080153E"/>
    <w:rsid w:val="00804373"/>
    <w:rsid w:val="008066D9"/>
    <w:rsid w:val="0080742D"/>
    <w:rsid w:val="0081151E"/>
    <w:rsid w:val="00812498"/>
    <w:rsid w:val="008125AC"/>
    <w:rsid w:val="008127E6"/>
    <w:rsid w:val="00812B80"/>
    <w:rsid w:val="0081336E"/>
    <w:rsid w:val="00813928"/>
    <w:rsid w:val="008205B2"/>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0CA4"/>
    <w:rsid w:val="0083350F"/>
    <w:rsid w:val="00834358"/>
    <w:rsid w:val="008346BD"/>
    <w:rsid w:val="00834F58"/>
    <w:rsid w:val="00835AC4"/>
    <w:rsid w:val="00835E2C"/>
    <w:rsid w:val="00836B7A"/>
    <w:rsid w:val="008409AA"/>
    <w:rsid w:val="00840E0E"/>
    <w:rsid w:val="00840FB8"/>
    <w:rsid w:val="008418A3"/>
    <w:rsid w:val="00842819"/>
    <w:rsid w:val="00843A7A"/>
    <w:rsid w:val="008447F5"/>
    <w:rsid w:val="00845215"/>
    <w:rsid w:val="00846292"/>
    <w:rsid w:val="008506E1"/>
    <w:rsid w:val="008515EE"/>
    <w:rsid w:val="008519B1"/>
    <w:rsid w:val="008528D3"/>
    <w:rsid w:val="0085296E"/>
    <w:rsid w:val="00854553"/>
    <w:rsid w:val="008545E6"/>
    <w:rsid w:val="008551AC"/>
    <w:rsid w:val="00855B86"/>
    <w:rsid w:val="00860874"/>
    <w:rsid w:val="0086180D"/>
    <w:rsid w:val="00862008"/>
    <w:rsid w:val="00862720"/>
    <w:rsid w:val="008628C8"/>
    <w:rsid w:val="00862B2A"/>
    <w:rsid w:val="008630B9"/>
    <w:rsid w:val="00863F37"/>
    <w:rsid w:val="0086406B"/>
    <w:rsid w:val="00864C8C"/>
    <w:rsid w:val="00864DD5"/>
    <w:rsid w:val="00867651"/>
    <w:rsid w:val="0087104B"/>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FDC"/>
    <w:rsid w:val="008A16F9"/>
    <w:rsid w:val="008A1D3E"/>
    <w:rsid w:val="008A2C4E"/>
    <w:rsid w:val="008A4B16"/>
    <w:rsid w:val="008A4D63"/>
    <w:rsid w:val="008A6D62"/>
    <w:rsid w:val="008A7A69"/>
    <w:rsid w:val="008B3B51"/>
    <w:rsid w:val="008B4057"/>
    <w:rsid w:val="008B4145"/>
    <w:rsid w:val="008B5290"/>
    <w:rsid w:val="008B5551"/>
    <w:rsid w:val="008C2CFD"/>
    <w:rsid w:val="008C603A"/>
    <w:rsid w:val="008C71C8"/>
    <w:rsid w:val="008D167D"/>
    <w:rsid w:val="008D4B58"/>
    <w:rsid w:val="008D4B8A"/>
    <w:rsid w:val="008D53E2"/>
    <w:rsid w:val="008D7D7B"/>
    <w:rsid w:val="008E0F52"/>
    <w:rsid w:val="008E1475"/>
    <w:rsid w:val="008E1DE5"/>
    <w:rsid w:val="008E2316"/>
    <w:rsid w:val="008E34BE"/>
    <w:rsid w:val="008E42F4"/>
    <w:rsid w:val="008E5657"/>
    <w:rsid w:val="008E5E51"/>
    <w:rsid w:val="008F00DB"/>
    <w:rsid w:val="008F1264"/>
    <w:rsid w:val="008F2E12"/>
    <w:rsid w:val="008F47C6"/>
    <w:rsid w:val="009006A2"/>
    <w:rsid w:val="0090102B"/>
    <w:rsid w:val="00901326"/>
    <w:rsid w:val="00901448"/>
    <w:rsid w:val="009017FE"/>
    <w:rsid w:val="00903545"/>
    <w:rsid w:val="00905C47"/>
    <w:rsid w:val="00906379"/>
    <w:rsid w:val="009101EA"/>
    <w:rsid w:val="009106FC"/>
    <w:rsid w:val="009118BB"/>
    <w:rsid w:val="00913AC1"/>
    <w:rsid w:val="00915B81"/>
    <w:rsid w:val="00915D6B"/>
    <w:rsid w:val="009160DF"/>
    <w:rsid w:val="009162C7"/>
    <w:rsid w:val="00916EC2"/>
    <w:rsid w:val="00920A6C"/>
    <w:rsid w:val="009213BD"/>
    <w:rsid w:val="00924627"/>
    <w:rsid w:val="009250A8"/>
    <w:rsid w:val="00925BE6"/>
    <w:rsid w:val="00925F86"/>
    <w:rsid w:val="00926F61"/>
    <w:rsid w:val="00930884"/>
    <w:rsid w:val="0093123D"/>
    <w:rsid w:val="00932E84"/>
    <w:rsid w:val="00933040"/>
    <w:rsid w:val="009330E9"/>
    <w:rsid w:val="00935768"/>
    <w:rsid w:val="00935D15"/>
    <w:rsid w:val="009411FB"/>
    <w:rsid w:val="009414A9"/>
    <w:rsid w:val="009414D9"/>
    <w:rsid w:val="00941B71"/>
    <w:rsid w:val="009421AD"/>
    <w:rsid w:val="0094221C"/>
    <w:rsid w:val="0094409C"/>
    <w:rsid w:val="00944159"/>
    <w:rsid w:val="00944816"/>
    <w:rsid w:val="009448DA"/>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483A"/>
    <w:rsid w:val="00985EF7"/>
    <w:rsid w:val="00986CF9"/>
    <w:rsid w:val="00987B7E"/>
    <w:rsid w:val="00990C0E"/>
    <w:rsid w:val="00990D75"/>
    <w:rsid w:val="00991093"/>
    <w:rsid w:val="0099163B"/>
    <w:rsid w:val="00992343"/>
    <w:rsid w:val="009929A3"/>
    <w:rsid w:val="0099493B"/>
    <w:rsid w:val="00996306"/>
    <w:rsid w:val="00996744"/>
    <w:rsid w:val="00997CF4"/>
    <w:rsid w:val="009A1169"/>
    <w:rsid w:val="009A3789"/>
    <w:rsid w:val="009A6094"/>
    <w:rsid w:val="009A6919"/>
    <w:rsid w:val="009A6AC7"/>
    <w:rsid w:val="009B0408"/>
    <w:rsid w:val="009B0843"/>
    <w:rsid w:val="009B1E47"/>
    <w:rsid w:val="009B2CED"/>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404C"/>
    <w:rsid w:val="009D5193"/>
    <w:rsid w:val="009D5C32"/>
    <w:rsid w:val="009D6472"/>
    <w:rsid w:val="009D79F4"/>
    <w:rsid w:val="009E2730"/>
    <w:rsid w:val="009E3CD1"/>
    <w:rsid w:val="009E50DE"/>
    <w:rsid w:val="009E5AF5"/>
    <w:rsid w:val="009E5EB5"/>
    <w:rsid w:val="009E6291"/>
    <w:rsid w:val="009E74F0"/>
    <w:rsid w:val="009F0768"/>
    <w:rsid w:val="009F17CE"/>
    <w:rsid w:val="009F7867"/>
    <w:rsid w:val="009F7D66"/>
    <w:rsid w:val="00A00BD2"/>
    <w:rsid w:val="00A00E56"/>
    <w:rsid w:val="00A027F3"/>
    <w:rsid w:val="00A02A9F"/>
    <w:rsid w:val="00A03978"/>
    <w:rsid w:val="00A07E08"/>
    <w:rsid w:val="00A1179A"/>
    <w:rsid w:val="00A12798"/>
    <w:rsid w:val="00A12B8F"/>
    <w:rsid w:val="00A142A2"/>
    <w:rsid w:val="00A153BE"/>
    <w:rsid w:val="00A15DEE"/>
    <w:rsid w:val="00A167B5"/>
    <w:rsid w:val="00A16DBE"/>
    <w:rsid w:val="00A178EA"/>
    <w:rsid w:val="00A17C4F"/>
    <w:rsid w:val="00A20818"/>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3650B"/>
    <w:rsid w:val="00A42D07"/>
    <w:rsid w:val="00A43DF3"/>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1D7"/>
    <w:rsid w:val="00A86EA7"/>
    <w:rsid w:val="00A91053"/>
    <w:rsid w:val="00A91C7B"/>
    <w:rsid w:val="00A92776"/>
    <w:rsid w:val="00A93181"/>
    <w:rsid w:val="00A938E6"/>
    <w:rsid w:val="00A93CCF"/>
    <w:rsid w:val="00A95BD5"/>
    <w:rsid w:val="00A96F78"/>
    <w:rsid w:val="00AA1087"/>
    <w:rsid w:val="00AA25A9"/>
    <w:rsid w:val="00AA26D9"/>
    <w:rsid w:val="00AA2EBB"/>
    <w:rsid w:val="00AA51AD"/>
    <w:rsid w:val="00AA591E"/>
    <w:rsid w:val="00AA65C9"/>
    <w:rsid w:val="00AB0A32"/>
    <w:rsid w:val="00AB0E56"/>
    <w:rsid w:val="00AB1FE4"/>
    <w:rsid w:val="00AB3139"/>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C50"/>
    <w:rsid w:val="00B06DD9"/>
    <w:rsid w:val="00B07CD6"/>
    <w:rsid w:val="00B07E52"/>
    <w:rsid w:val="00B10010"/>
    <w:rsid w:val="00B11775"/>
    <w:rsid w:val="00B1302D"/>
    <w:rsid w:val="00B1513F"/>
    <w:rsid w:val="00B1746F"/>
    <w:rsid w:val="00B20725"/>
    <w:rsid w:val="00B2175F"/>
    <w:rsid w:val="00B21847"/>
    <w:rsid w:val="00B22140"/>
    <w:rsid w:val="00B245DA"/>
    <w:rsid w:val="00B2628E"/>
    <w:rsid w:val="00B266B0"/>
    <w:rsid w:val="00B27921"/>
    <w:rsid w:val="00B3000E"/>
    <w:rsid w:val="00B326A8"/>
    <w:rsid w:val="00B329EB"/>
    <w:rsid w:val="00B32D52"/>
    <w:rsid w:val="00B33316"/>
    <w:rsid w:val="00B33508"/>
    <w:rsid w:val="00B3377E"/>
    <w:rsid w:val="00B34605"/>
    <w:rsid w:val="00B35C30"/>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898"/>
    <w:rsid w:val="00B67613"/>
    <w:rsid w:val="00B67805"/>
    <w:rsid w:val="00B7267A"/>
    <w:rsid w:val="00B726FF"/>
    <w:rsid w:val="00B72AA4"/>
    <w:rsid w:val="00B74781"/>
    <w:rsid w:val="00B76BCD"/>
    <w:rsid w:val="00B76EE9"/>
    <w:rsid w:val="00B77880"/>
    <w:rsid w:val="00B80D90"/>
    <w:rsid w:val="00B82613"/>
    <w:rsid w:val="00B828B5"/>
    <w:rsid w:val="00B82DD1"/>
    <w:rsid w:val="00B84E9C"/>
    <w:rsid w:val="00B85522"/>
    <w:rsid w:val="00B90E2A"/>
    <w:rsid w:val="00B90F2A"/>
    <w:rsid w:val="00B9198D"/>
    <w:rsid w:val="00B93008"/>
    <w:rsid w:val="00B9406D"/>
    <w:rsid w:val="00B94BA7"/>
    <w:rsid w:val="00B94E0E"/>
    <w:rsid w:val="00B97CA3"/>
    <w:rsid w:val="00BA1AB0"/>
    <w:rsid w:val="00BA76A9"/>
    <w:rsid w:val="00BB3E2B"/>
    <w:rsid w:val="00BB5D1C"/>
    <w:rsid w:val="00BB6552"/>
    <w:rsid w:val="00BB6B9B"/>
    <w:rsid w:val="00BB754F"/>
    <w:rsid w:val="00BC07D4"/>
    <w:rsid w:val="00BC0A5D"/>
    <w:rsid w:val="00BC0BE3"/>
    <w:rsid w:val="00BC1998"/>
    <w:rsid w:val="00BC1AD9"/>
    <w:rsid w:val="00BC2ABE"/>
    <w:rsid w:val="00BC30B1"/>
    <w:rsid w:val="00BC32E7"/>
    <w:rsid w:val="00BC58B9"/>
    <w:rsid w:val="00BD3E68"/>
    <w:rsid w:val="00BD598A"/>
    <w:rsid w:val="00BD75B4"/>
    <w:rsid w:val="00BD7D14"/>
    <w:rsid w:val="00BE02B4"/>
    <w:rsid w:val="00BE0B81"/>
    <w:rsid w:val="00BE5A36"/>
    <w:rsid w:val="00BE631E"/>
    <w:rsid w:val="00BE7D45"/>
    <w:rsid w:val="00BF0CCF"/>
    <w:rsid w:val="00BF0FC5"/>
    <w:rsid w:val="00BF10BC"/>
    <w:rsid w:val="00BF21AC"/>
    <w:rsid w:val="00BF2E53"/>
    <w:rsid w:val="00BF3669"/>
    <w:rsid w:val="00BF3C0D"/>
    <w:rsid w:val="00C011A3"/>
    <w:rsid w:val="00C03309"/>
    <w:rsid w:val="00C04FE5"/>
    <w:rsid w:val="00C072FE"/>
    <w:rsid w:val="00C12E39"/>
    <w:rsid w:val="00C136F1"/>
    <w:rsid w:val="00C14164"/>
    <w:rsid w:val="00C14851"/>
    <w:rsid w:val="00C15D8E"/>
    <w:rsid w:val="00C17012"/>
    <w:rsid w:val="00C178FB"/>
    <w:rsid w:val="00C2385C"/>
    <w:rsid w:val="00C257B7"/>
    <w:rsid w:val="00C272E8"/>
    <w:rsid w:val="00C32035"/>
    <w:rsid w:val="00C33359"/>
    <w:rsid w:val="00C348D6"/>
    <w:rsid w:val="00C36E34"/>
    <w:rsid w:val="00C404EE"/>
    <w:rsid w:val="00C4061A"/>
    <w:rsid w:val="00C4171B"/>
    <w:rsid w:val="00C42656"/>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55A6A"/>
    <w:rsid w:val="00C61D4B"/>
    <w:rsid w:val="00C62B0A"/>
    <w:rsid w:val="00C63F08"/>
    <w:rsid w:val="00C646EE"/>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83C"/>
    <w:rsid w:val="00C85D76"/>
    <w:rsid w:val="00C87004"/>
    <w:rsid w:val="00C873AC"/>
    <w:rsid w:val="00C9106A"/>
    <w:rsid w:val="00C933E7"/>
    <w:rsid w:val="00C93462"/>
    <w:rsid w:val="00C94384"/>
    <w:rsid w:val="00C94A34"/>
    <w:rsid w:val="00C94A3C"/>
    <w:rsid w:val="00C94C2B"/>
    <w:rsid w:val="00C96F79"/>
    <w:rsid w:val="00C9782E"/>
    <w:rsid w:val="00C97CF9"/>
    <w:rsid w:val="00CA17DD"/>
    <w:rsid w:val="00CA1863"/>
    <w:rsid w:val="00CA1F91"/>
    <w:rsid w:val="00CA391D"/>
    <w:rsid w:val="00CA3ACD"/>
    <w:rsid w:val="00CA4F8B"/>
    <w:rsid w:val="00CA5295"/>
    <w:rsid w:val="00CB09DA"/>
    <w:rsid w:val="00CB0BD9"/>
    <w:rsid w:val="00CB19E0"/>
    <w:rsid w:val="00CB1CAC"/>
    <w:rsid w:val="00CB1DE8"/>
    <w:rsid w:val="00CB1E3B"/>
    <w:rsid w:val="00CB1F1D"/>
    <w:rsid w:val="00CB71F8"/>
    <w:rsid w:val="00CC0C58"/>
    <w:rsid w:val="00CC26DB"/>
    <w:rsid w:val="00CC3DAA"/>
    <w:rsid w:val="00CC4C2C"/>
    <w:rsid w:val="00CC5057"/>
    <w:rsid w:val="00CC5347"/>
    <w:rsid w:val="00CC6A4F"/>
    <w:rsid w:val="00CD078F"/>
    <w:rsid w:val="00CD121E"/>
    <w:rsid w:val="00CD3ED8"/>
    <w:rsid w:val="00CD464F"/>
    <w:rsid w:val="00CD6E97"/>
    <w:rsid w:val="00CD761D"/>
    <w:rsid w:val="00CD76B5"/>
    <w:rsid w:val="00CD7E3B"/>
    <w:rsid w:val="00CE160B"/>
    <w:rsid w:val="00CE18DD"/>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5B63"/>
    <w:rsid w:val="00D060FF"/>
    <w:rsid w:val="00D063B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1072"/>
    <w:rsid w:val="00D42240"/>
    <w:rsid w:val="00D427C3"/>
    <w:rsid w:val="00D42EB8"/>
    <w:rsid w:val="00D44932"/>
    <w:rsid w:val="00D46111"/>
    <w:rsid w:val="00D47C16"/>
    <w:rsid w:val="00D502AF"/>
    <w:rsid w:val="00D50764"/>
    <w:rsid w:val="00D50C12"/>
    <w:rsid w:val="00D51A77"/>
    <w:rsid w:val="00D52498"/>
    <w:rsid w:val="00D53830"/>
    <w:rsid w:val="00D55889"/>
    <w:rsid w:val="00D57AF0"/>
    <w:rsid w:val="00D57D27"/>
    <w:rsid w:val="00D62ECD"/>
    <w:rsid w:val="00D64426"/>
    <w:rsid w:val="00D65821"/>
    <w:rsid w:val="00D67BC5"/>
    <w:rsid w:val="00D7021B"/>
    <w:rsid w:val="00D70D33"/>
    <w:rsid w:val="00D73077"/>
    <w:rsid w:val="00D73C57"/>
    <w:rsid w:val="00D742FF"/>
    <w:rsid w:val="00D758B3"/>
    <w:rsid w:val="00D76ADC"/>
    <w:rsid w:val="00D76D05"/>
    <w:rsid w:val="00D77413"/>
    <w:rsid w:val="00D817CE"/>
    <w:rsid w:val="00D81F10"/>
    <w:rsid w:val="00D84A57"/>
    <w:rsid w:val="00D874DF"/>
    <w:rsid w:val="00D87A12"/>
    <w:rsid w:val="00D90B29"/>
    <w:rsid w:val="00D912E2"/>
    <w:rsid w:val="00D91368"/>
    <w:rsid w:val="00D930E1"/>
    <w:rsid w:val="00D9415C"/>
    <w:rsid w:val="00D942CC"/>
    <w:rsid w:val="00D94D87"/>
    <w:rsid w:val="00D962DC"/>
    <w:rsid w:val="00DA180C"/>
    <w:rsid w:val="00DA3B87"/>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0DC2"/>
    <w:rsid w:val="00DC129F"/>
    <w:rsid w:val="00DC3A9D"/>
    <w:rsid w:val="00DC413A"/>
    <w:rsid w:val="00DC4EC1"/>
    <w:rsid w:val="00DC51EB"/>
    <w:rsid w:val="00DC6C1E"/>
    <w:rsid w:val="00DC7951"/>
    <w:rsid w:val="00DD1222"/>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416D"/>
    <w:rsid w:val="00E0576C"/>
    <w:rsid w:val="00E068BC"/>
    <w:rsid w:val="00E073F0"/>
    <w:rsid w:val="00E10761"/>
    <w:rsid w:val="00E11D7A"/>
    <w:rsid w:val="00E11EEB"/>
    <w:rsid w:val="00E128F2"/>
    <w:rsid w:val="00E16463"/>
    <w:rsid w:val="00E20B83"/>
    <w:rsid w:val="00E2128D"/>
    <w:rsid w:val="00E216BC"/>
    <w:rsid w:val="00E217B4"/>
    <w:rsid w:val="00E26727"/>
    <w:rsid w:val="00E26970"/>
    <w:rsid w:val="00E27749"/>
    <w:rsid w:val="00E27791"/>
    <w:rsid w:val="00E319DB"/>
    <w:rsid w:val="00E31AFC"/>
    <w:rsid w:val="00E3409E"/>
    <w:rsid w:val="00E34F76"/>
    <w:rsid w:val="00E3532F"/>
    <w:rsid w:val="00E37779"/>
    <w:rsid w:val="00E37BE5"/>
    <w:rsid w:val="00E418A7"/>
    <w:rsid w:val="00E41A27"/>
    <w:rsid w:val="00E43759"/>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2C48"/>
    <w:rsid w:val="00E74F5D"/>
    <w:rsid w:val="00E74F79"/>
    <w:rsid w:val="00E7602A"/>
    <w:rsid w:val="00E76034"/>
    <w:rsid w:val="00E80440"/>
    <w:rsid w:val="00E817E0"/>
    <w:rsid w:val="00E82EE4"/>
    <w:rsid w:val="00E831E7"/>
    <w:rsid w:val="00E843B5"/>
    <w:rsid w:val="00E84A3B"/>
    <w:rsid w:val="00E85307"/>
    <w:rsid w:val="00E85EDA"/>
    <w:rsid w:val="00E907E4"/>
    <w:rsid w:val="00E90A24"/>
    <w:rsid w:val="00E90C34"/>
    <w:rsid w:val="00E919AC"/>
    <w:rsid w:val="00E946A6"/>
    <w:rsid w:val="00E947E4"/>
    <w:rsid w:val="00E96A29"/>
    <w:rsid w:val="00E96FAE"/>
    <w:rsid w:val="00E96FE6"/>
    <w:rsid w:val="00EA172C"/>
    <w:rsid w:val="00EA1D43"/>
    <w:rsid w:val="00EA4EC9"/>
    <w:rsid w:val="00EA5E0F"/>
    <w:rsid w:val="00EA6FE4"/>
    <w:rsid w:val="00EA748A"/>
    <w:rsid w:val="00EA7B1F"/>
    <w:rsid w:val="00EA7F4C"/>
    <w:rsid w:val="00EB1D47"/>
    <w:rsid w:val="00EB2317"/>
    <w:rsid w:val="00EB279B"/>
    <w:rsid w:val="00EB2ABB"/>
    <w:rsid w:val="00EB5D88"/>
    <w:rsid w:val="00EB7307"/>
    <w:rsid w:val="00EB7570"/>
    <w:rsid w:val="00EC14B0"/>
    <w:rsid w:val="00EC204E"/>
    <w:rsid w:val="00EC249E"/>
    <w:rsid w:val="00EC2CFF"/>
    <w:rsid w:val="00EC5F2F"/>
    <w:rsid w:val="00EC651E"/>
    <w:rsid w:val="00EC692E"/>
    <w:rsid w:val="00EC745E"/>
    <w:rsid w:val="00EC7EAF"/>
    <w:rsid w:val="00ED27C3"/>
    <w:rsid w:val="00ED33AE"/>
    <w:rsid w:val="00ED3775"/>
    <w:rsid w:val="00ED40D7"/>
    <w:rsid w:val="00ED4A6D"/>
    <w:rsid w:val="00ED6D4A"/>
    <w:rsid w:val="00ED738C"/>
    <w:rsid w:val="00ED7918"/>
    <w:rsid w:val="00ED7E6A"/>
    <w:rsid w:val="00ED7FD3"/>
    <w:rsid w:val="00EE3663"/>
    <w:rsid w:val="00EE41C4"/>
    <w:rsid w:val="00EE76A9"/>
    <w:rsid w:val="00EE799E"/>
    <w:rsid w:val="00EE7ACF"/>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4444"/>
    <w:rsid w:val="00F3636B"/>
    <w:rsid w:val="00F4130F"/>
    <w:rsid w:val="00F4275C"/>
    <w:rsid w:val="00F44A01"/>
    <w:rsid w:val="00F52043"/>
    <w:rsid w:val="00F52339"/>
    <w:rsid w:val="00F5277A"/>
    <w:rsid w:val="00F532E8"/>
    <w:rsid w:val="00F537FF"/>
    <w:rsid w:val="00F55FD7"/>
    <w:rsid w:val="00F560FE"/>
    <w:rsid w:val="00F6111C"/>
    <w:rsid w:val="00F614C0"/>
    <w:rsid w:val="00F61647"/>
    <w:rsid w:val="00F620E7"/>
    <w:rsid w:val="00F62C1C"/>
    <w:rsid w:val="00F647EC"/>
    <w:rsid w:val="00F64AFE"/>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97299"/>
    <w:rsid w:val="00FA0931"/>
    <w:rsid w:val="00FA413A"/>
    <w:rsid w:val="00FA4144"/>
    <w:rsid w:val="00FA4751"/>
    <w:rsid w:val="00FA4DDF"/>
    <w:rsid w:val="00FA5E71"/>
    <w:rsid w:val="00FA6E7F"/>
    <w:rsid w:val="00FA7114"/>
    <w:rsid w:val="00FB2379"/>
    <w:rsid w:val="00FB2505"/>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B42"/>
    <w:rsid w:val="00FF2D73"/>
    <w:rsid w:val="00FF3B7F"/>
    <w:rsid w:val="00FF61D9"/>
    <w:rsid w:val="00FF6822"/>
    <w:rsid w:val="00FF73D0"/>
    <w:rsid w:val="01F42E80"/>
    <w:rsid w:val="0C2EDDEB"/>
    <w:rsid w:val="0DF50296"/>
    <w:rsid w:val="11FB1E7F"/>
    <w:rsid w:val="16DACBB7"/>
    <w:rsid w:val="191561CE"/>
    <w:rsid w:val="19B05044"/>
    <w:rsid w:val="1D1DB85D"/>
    <w:rsid w:val="1D736DD5"/>
    <w:rsid w:val="1F244F5A"/>
    <w:rsid w:val="2016B7E9"/>
    <w:rsid w:val="23789323"/>
    <w:rsid w:val="248E0716"/>
    <w:rsid w:val="29A15E71"/>
    <w:rsid w:val="2B6BF613"/>
    <w:rsid w:val="2CC6DBAE"/>
    <w:rsid w:val="2E8893A6"/>
    <w:rsid w:val="36775D76"/>
    <w:rsid w:val="3D08E2D2"/>
    <w:rsid w:val="44593D5F"/>
    <w:rsid w:val="45AB766D"/>
    <w:rsid w:val="4CC09A50"/>
    <w:rsid w:val="52DC574C"/>
    <w:rsid w:val="53FC4D78"/>
    <w:rsid w:val="55F5939F"/>
    <w:rsid w:val="572C63F8"/>
    <w:rsid w:val="5766216C"/>
    <w:rsid w:val="57EDC51E"/>
    <w:rsid w:val="5A2B6F38"/>
    <w:rsid w:val="5C120A52"/>
    <w:rsid w:val="5D3612B8"/>
    <w:rsid w:val="65DCC1A9"/>
    <w:rsid w:val="67BC8065"/>
    <w:rsid w:val="6E1DDA7D"/>
    <w:rsid w:val="75D23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C0C26A"/>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87786393">
      <w:bodyDiv w:val="1"/>
      <w:marLeft w:val="0"/>
      <w:marRight w:val="0"/>
      <w:marTop w:val="0"/>
      <w:marBottom w:val="0"/>
      <w:divBdr>
        <w:top w:val="none" w:sz="0" w:space="0" w:color="auto"/>
        <w:left w:val="none" w:sz="0" w:space="0" w:color="auto"/>
        <w:bottom w:val="none" w:sz="0" w:space="0" w:color="auto"/>
        <w:right w:val="none" w:sz="0" w:space="0" w:color="auto"/>
      </w:divBdr>
    </w:div>
    <w:div w:id="357777423">
      <w:bodyDiv w:val="1"/>
      <w:marLeft w:val="0"/>
      <w:marRight w:val="0"/>
      <w:marTop w:val="0"/>
      <w:marBottom w:val="0"/>
      <w:divBdr>
        <w:top w:val="none" w:sz="0" w:space="0" w:color="auto"/>
        <w:left w:val="none" w:sz="0" w:space="0" w:color="auto"/>
        <w:bottom w:val="none" w:sz="0" w:space="0" w:color="auto"/>
        <w:right w:val="none" w:sz="0" w:space="0" w:color="auto"/>
      </w:divBdr>
    </w:div>
    <w:div w:id="365260098">
      <w:bodyDiv w:val="1"/>
      <w:marLeft w:val="0"/>
      <w:marRight w:val="0"/>
      <w:marTop w:val="0"/>
      <w:marBottom w:val="0"/>
      <w:divBdr>
        <w:top w:val="none" w:sz="0" w:space="0" w:color="auto"/>
        <w:left w:val="none" w:sz="0" w:space="0" w:color="auto"/>
        <w:bottom w:val="none" w:sz="0" w:space="0" w:color="auto"/>
        <w:right w:val="none" w:sz="0" w:space="0" w:color="auto"/>
      </w:divBdr>
    </w:div>
    <w:div w:id="36564265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9601149">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710788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444951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52074740">
      <w:bodyDiv w:val="1"/>
      <w:marLeft w:val="0"/>
      <w:marRight w:val="0"/>
      <w:marTop w:val="0"/>
      <w:marBottom w:val="0"/>
      <w:divBdr>
        <w:top w:val="none" w:sz="0" w:space="0" w:color="auto"/>
        <w:left w:val="none" w:sz="0" w:space="0" w:color="auto"/>
        <w:bottom w:val="none" w:sz="0" w:space="0" w:color="auto"/>
        <w:right w:val="none" w:sz="0" w:space="0" w:color="auto"/>
      </w:divBdr>
    </w:div>
    <w:div w:id="137554508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6882070">
      <w:bodyDiv w:val="1"/>
      <w:marLeft w:val="0"/>
      <w:marRight w:val="0"/>
      <w:marTop w:val="0"/>
      <w:marBottom w:val="0"/>
      <w:divBdr>
        <w:top w:val="none" w:sz="0" w:space="0" w:color="auto"/>
        <w:left w:val="none" w:sz="0" w:space="0" w:color="auto"/>
        <w:bottom w:val="none" w:sz="0" w:space="0" w:color="auto"/>
        <w:right w:val="none" w:sz="0" w:space="0" w:color="auto"/>
      </w:divBdr>
      <w:divsChild>
        <w:div w:id="40983256">
          <w:marLeft w:val="3154"/>
          <w:marRight w:val="0"/>
          <w:marTop w:val="0"/>
          <w:marBottom w:val="0"/>
          <w:divBdr>
            <w:top w:val="none" w:sz="0" w:space="0" w:color="auto"/>
            <w:left w:val="none" w:sz="0" w:space="0" w:color="auto"/>
            <w:bottom w:val="none" w:sz="0" w:space="0" w:color="auto"/>
            <w:right w:val="none" w:sz="0" w:space="0" w:color="auto"/>
          </w:divBdr>
        </w:div>
        <w:div w:id="1013341543">
          <w:marLeft w:val="3874"/>
          <w:marRight w:val="0"/>
          <w:marTop w:val="0"/>
          <w:marBottom w:val="0"/>
          <w:divBdr>
            <w:top w:val="none" w:sz="0" w:space="0" w:color="auto"/>
            <w:left w:val="none" w:sz="0" w:space="0" w:color="auto"/>
            <w:bottom w:val="none" w:sz="0" w:space="0" w:color="auto"/>
            <w:right w:val="none" w:sz="0" w:space="0" w:color="auto"/>
          </w:divBdr>
        </w:div>
        <w:div w:id="1486781578">
          <w:marLeft w:val="3154"/>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6760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5AIRPNAIUNRU-1830940522-2078</_dlc_DocId>
    <_dlc_DocIdUrl xmlns="71c5aaf6-e6ce-465b-b873-5148d2a4c105">
      <Url>https://nokia.sharepoint.com/sites/c5g/5gradio/_layouts/15/DocIdRedir.aspx?ID=5AIRPNAIUNRU-1830940522-2078</Url>
      <Description>5AIRPNAIUNRU-1830940522-2078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79AED-1BD8-49CC-8CE0-1B96B7FDC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9109F11-B684-4B95-AABB-BE58167A8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9</Pages>
  <Words>4568</Words>
  <Characters>26044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Ranta-Aho, Karri (Nokia - FI/Espoo)</cp:lastModifiedBy>
  <cp:revision>2</cp:revision>
  <cp:lastPrinted>2016-09-26T06:54:00Z</cp:lastPrinted>
  <dcterms:created xsi:type="dcterms:W3CDTF">2017-10-02T20:53:00Z</dcterms:created>
  <dcterms:modified xsi:type="dcterms:W3CDTF">2017-10-02T20:53:00Z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5ec65f39-5cca-454b-9edb-d1069b2597ba</vt:lpwstr>
  </property>
</Properties>
</file>